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923CF9">
      <w:pPr>
        <w:pStyle w:val="6"/>
        <w:rPr>
          <w:rFonts w:hint="eastAsia" w:hAnsi="黑体" w:cs="黑体"/>
        </w:rPr>
      </w:pPr>
      <w:bookmarkStart w:id="0" w:name="_Toc303777278"/>
      <w:bookmarkStart w:id="1" w:name="_Toc309747626"/>
      <w:bookmarkStart w:id="2" w:name="_Toc312135598"/>
      <w:bookmarkStart w:id="3" w:name="_Toc302482253"/>
      <w:bookmarkStart w:id="4" w:name="_Toc304109198"/>
      <w:bookmarkStart w:id="5" w:name="_Toc302482329"/>
      <w:r>
        <w:rPr>
          <w:rFonts w:hint="eastAsia" w:hAnsi="黑体" w:cs="黑体"/>
        </w:rPr>
        <w:t>ICS</w:t>
      </w:r>
      <w:r>
        <w:rPr>
          <w:rFonts w:hAnsi="黑体" w:cs="黑体"/>
          <w:lang w:val="en"/>
        </w:rPr>
        <w:t xml:space="preserve"> </w:t>
      </w:r>
      <w:r>
        <w:rPr>
          <w:rFonts w:hint="eastAsia" w:hAnsi="黑体" w:cs="黑体"/>
        </w:rPr>
        <w:t>13</w:t>
      </w:r>
      <w:r>
        <w:rPr>
          <w:rFonts w:hAnsi="黑体" w:cs="黑体"/>
          <w:lang w:val="en"/>
        </w:rPr>
        <w:t xml:space="preserve"> </w:t>
      </w:r>
      <w:r>
        <w:rPr>
          <w:rFonts w:hint="eastAsia" w:hAnsi="黑体" w:cs="黑体"/>
        </w:rPr>
        <w:t>100</w:t>
      </w:r>
    </w:p>
    <w:p w14:paraId="6933E72D">
      <w:pPr>
        <w:pStyle w:val="6"/>
        <w:rPr>
          <w:rFonts w:hint="eastAsia" w:hAnsi="黑体"/>
        </w:rPr>
      </w:pPr>
      <w:r>
        <w:rPr>
          <w:rFonts w:hint="eastAsia" w:hAnsi="黑体"/>
        </w:rPr>
        <w:t>CCS C 65</w:t>
      </w:r>
    </w:p>
    <w:tbl>
      <w:tblPr>
        <w:tblStyle w:val="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71"/>
      </w:tblGrid>
      <w:tr w14:paraId="2B78FA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71" w:type="dxa"/>
            <w:tcBorders>
              <w:top w:val="nil"/>
              <w:left w:val="nil"/>
              <w:bottom w:val="nil"/>
              <w:right w:val="nil"/>
            </w:tcBorders>
          </w:tcPr>
          <w:p w14:paraId="54CD3876">
            <w:pPr>
              <w:pStyle w:val="6"/>
            </w:pPr>
            <w:r>
              <mc:AlternateContent>
                <mc:Choice Requires="wps">
                  <w:drawing>
                    <wp:anchor distT="0" distB="0" distL="114300" distR="114300" simplePos="0" relativeHeight="251659264" behindDoc="1" locked="0" layoutInCell="1" allowOverlap="1">
                      <wp:simplePos x="0" y="0"/>
                      <wp:positionH relativeFrom="column">
                        <wp:posOffset>-66675</wp:posOffset>
                      </wp:positionH>
                      <wp:positionV relativeFrom="paragraph">
                        <wp:posOffset>0</wp:posOffset>
                      </wp:positionV>
                      <wp:extent cx="866775" cy="198120"/>
                      <wp:effectExtent l="0" t="0" r="9525" b="11430"/>
                      <wp:wrapNone/>
                      <wp:docPr id="1" name="BAH"/>
                      <wp:cNvGraphicFramePr/>
                      <a:graphic xmlns:a="http://schemas.openxmlformats.org/drawingml/2006/main">
                        <a:graphicData uri="http://schemas.microsoft.com/office/word/2010/wordprocessingShape">
                          <wps:wsp>
                            <wps:cNvSpPr/>
                            <wps:spPr>
                              <a:xfrm>
                                <a:off x="0" y="0"/>
                                <a:ext cx="866775" cy="198120"/>
                              </a:xfrm>
                              <a:prstGeom prst="rect">
                                <a:avLst/>
                              </a:prstGeom>
                              <a:solidFill>
                                <a:srgbClr val="FFFFFF"/>
                              </a:solidFill>
                              <a:ln>
                                <a:noFill/>
                              </a:ln>
                            </wps:spPr>
                            <wps:txbx>
                              <w:txbxContent>
                                <w:p w14:paraId="60AD5C76"/>
                              </w:txbxContent>
                            </wps:txbx>
                            <wps:bodyPr wrap="square" upright="1"/>
                          </wps:wsp>
                        </a:graphicData>
                      </a:graphic>
                    </wp:anchor>
                  </w:drawing>
                </mc:Choice>
                <mc:Fallback>
                  <w:pict>
                    <v:rect id="BAH" o:spid="_x0000_s1026" o:spt="1" style="position:absolute;left:0pt;margin-left:-5.25pt;margin-top:0pt;height:15.6pt;width:68.25pt;z-index:-251657216;mso-width-relative:page;mso-height-relative:page;" fillcolor="#FFFFFF" filled="t" stroked="f" coordsize="21600,21600" o:gfxdata="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DI&#10;ri/s1QAAAAcBAAAPAAAAAAAAAAEAIAAAACIAAABkcnMvZG93bnJldi54bWxQSwECFAAUAAAACACH&#10;TuJAxKm0FrUBAAByAwAADgAAAAAAAAABACAAAAAkAQAAZHJzL2Uyb0RvYy54bWxQSwUGAAAAAAYA&#10;BgBZAQAASwUAAAAA&#10;">
                      <v:fill on="t" focussize="0,0"/>
                      <v:stroke on="f"/>
                      <v:imagedata o:title=""/>
                      <o:lock v:ext="edit" aspectratio="f"/>
                      <v:textbox>
                        <w:txbxContent>
                          <w:p w14:paraId="60AD5C76"/>
                        </w:txbxContent>
                      </v:textbox>
                    </v:rect>
                  </w:pict>
                </mc:Fallback>
              </mc:AlternateContent>
            </w:r>
          </w:p>
        </w:tc>
      </w:tr>
    </w:tbl>
    <w:p w14:paraId="7C7AD076">
      <w:pPr>
        <w:pStyle w:val="7"/>
      </w:pPr>
      <w:r>
        <w:rPr>
          <w:rFonts w:hint="eastAsia"/>
        </w:rPr>
        <w:t>AQ</w:t>
      </w:r>
    </w:p>
    <w:p w14:paraId="2B3ECCB4">
      <w:pPr>
        <w:pStyle w:val="9"/>
        <w:framePr w:w="9513" w:x="1350" w:y="2296"/>
        <w:rPr>
          <w:rFonts w:hint="eastAsia"/>
        </w:rPr>
      </w:pPr>
      <w:r>
        <w:rPr>
          <w:rFonts w:hint="eastAsia"/>
        </w:rPr>
        <w:t>中华人民共和国安全生产行业标准</w:t>
      </w:r>
    </w:p>
    <w:p w14:paraId="50B27BCC">
      <w:pPr>
        <w:framePr w:w="9140" w:h="1242" w:hRule="exact" w:hSpace="284" w:wrap="around" w:vAnchor="page" w:hAnchor="page" w:x="1645" w:y="2910" w:anchorLock="1"/>
        <w:kinsoku w:val="0"/>
        <w:wordWrap w:val="0"/>
        <w:overflowPunct w:val="0"/>
        <w:autoSpaceDE w:val="0"/>
        <w:autoSpaceDN w:val="0"/>
        <w:spacing w:before="357" w:line="280" w:lineRule="exact"/>
        <w:jc w:val="right"/>
        <w:textAlignment w:val="center"/>
        <w:rPr>
          <w:rFonts w:hint="eastAsia" w:ascii="宋体" w:hAnsi="宋体"/>
          <w:kern w:val="0"/>
          <w:szCs w:val="21"/>
          <w:lang w:val="fr-FR"/>
        </w:rPr>
      </w:pPr>
      <w:r>
        <w:rPr>
          <w:rFonts w:hint="eastAsia" w:ascii="黑体" w:hAnsi="黑体" w:eastAsia="黑体"/>
          <w:kern w:val="0"/>
          <w:sz w:val="28"/>
          <w:szCs w:val="20"/>
          <w:lang w:val="fr-FR"/>
        </w:rPr>
        <w:t>AQ XXXX</w:t>
      </w:r>
      <w:r>
        <w:rPr>
          <w:rFonts w:ascii="黑体" w:hAnsi="黑体" w:eastAsia="黑体"/>
          <w:kern w:val="0"/>
          <w:sz w:val="28"/>
          <w:szCs w:val="20"/>
          <w:lang w:val="fr-FR"/>
        </w:rPr>
        <w:t>—</w:t>
      </w:r>
      <w:r>
        <w:rPr>
          <w:rFonts w:hint="eastAsia" w:ascii="黑体" w:hAnsi="黑体" w:eastAsia="黑体"/>
          <w:kern w:val="0"/>
          <w:sz w:val="28"/>
          <w:szCs w:val="20"/>
          <w:lang w:val="fr-FR"/>
        </w:rPr>
        <w:t>20XX</w:t>
      </w:r>
    </w:p>
    <w:p w14:paraId="3191EAB0">
      <w:pPr>
        <w:pStyle w:val="10"/>
        <w:rPr>
          <w:rFonts w:hint="eastAsia" w:hAnsi="黑体"/>
          <w:lang w:val="fr-FR"/>
        </w:rPr>
      </w:pPr>
    </w:p>
    <w:p w14:paraId="44A300A2">
      <w:pPr>
        <w:pStyle w:val="10"/>
      </w:pPr>
    </w:p>
    <w:p w14:paraId="1E802E51">
      <w:pPr>
        <w:pStyle w:val="10"/>
      </w:pPr>
    </w:p>
    <w:p w14:paraId="7EF487E1">
      <w:pPr>
        <w:pStyle w:val="11"/>
        <w:framePr w:w="9586" w:h="7426" w:hRule="exact" w:x="1463" w:y="6132"/>
        <w:rPr>
          <w:szCs w:val="52"/>
          <w:lang w:val="en"/>
        </w:rPr>
      </w:pPr>
      <w:r>
        <w:rPr>
          <w:rFonts w:hint="eastAsia"/>
          <w:szCs w:val="52"/>
        </w:rPr>
        <w:t>烟花爆竹重大生产安全事故隐患判定准则</w:t>
      </w:r>
    </w:p>
    <w:tbl>
      <w:tblPr>
        <w:tblStyle w:val="4"/>
        <w:tblW w:w="1971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55"/>
        <w:gridCol w:w="9855"/>
      </w:tblGrid>
      <w:tr w14:paraId="7F0F0C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14:paraId="5025005D">
            <w:pPr>
              <w:pStyle w:val="12"/>
              <w:framePr w:w="9586" w:h="7426" w:hRule="exact" w:x="1463" w:y="6132"/>
              <w:spacing w:before="370" w:line="400" w:lineRule="exact"/>
              <w:rPr>
                <w:rFonts w:hint="eastAsia" w:ascii="黑体" w:hAnsi="黑体" w:eastAsia="黑体"/>
                <w:sz w:val="28"/>
              </w:rPr>
            </w:pPr>
            <w:r>
              <w:rPr>
                <w:rFonts w:hint="eastAsia" w:ascii="黑体" w:hAnsi="黑体" w:eastAsia="黑体"/>
                <w:sz w:val="28"/>
                <w:highlight w:val="none"/>
              </w:rPr>
              <w:t xml:space="preserve">Criteria for </w:t>
            </w:r>
            <w:r>
              <w:rPr>
                <w:rFonts w:ascii="黑体" w:hAnsi="黑体" w:eastAsia="黑体"/>
                <w:sz w:val="28"/>
                <w:highlight w:val="none"/>
                <w:lang w:val="en"/>
              </w:rPr>
              <w:t xml:space="preserve">determining </w:t>
            </w:r>
            <w:r>
              <w:rPr>
                <w:rFonts w:hint="eastAsia" w:ascii="黑体" w:hAnsi="黑体" w:eastAsia="黑体"/>
                <w:sz w:val="28"/>
                <w:highlight w:val="none"/>
              </w:rPr>
              <w:t xml:space="preserve">major </w:t>
            </w:r>
            <w:r>
              <w:rPr>
                <w:rFonts w:ascii="黑体" w:hAnsi="黑体" w:eastAsia="黑体"/>
                <w:sz w:val="28"/>
                <w:highlight w:val="none"/>
                <w:lang w:val="en"/>
              </w:rPr>
              <w:t>accident</w:t>
            </w:r>
            <w:r>
              <w:rPr>
                <w:rFonts w:hint="eastAsia" w:ascii="黑体" w:hAnsi="黑体" w:eastAsia="黑体"/>
                <w:sz w:val="28"/>
                <w:highlight w:val="none"/>
              </w:rPr>
              <w:t xml:space="preserve"> </w:t>
            </w:r>
            <w:r>
              <w:rPr>
                <w:rFonts w:ascii="黑体" w:hAnsi="黑体" w:eastAsia="黑体"/>
                <w:sz w:val="28"/>
                <w:highlight w:val="none"/>
                <w:lang w:val="en"/>
              </w:rPr>
              <w:t>hazards</w:t>
            </w:r>
            <w:r>
              <w:rPr>
                <w:rFonts w:hint="eastAsia" w:ascii="黑体" w:hAnsi="黑体" w:eastAsia="黑体"/>
                <w:sz w:val="28"/>
                <w:highlight w:val="none"/>
              </w:rPr>
              <w:t xml:space="preserve"> </w:t>
            </w:r>
            <w:r>
              <w:rPr>
                <w:rFonts w:ascii="黑体" w:hAnsi="黑体" w:eastAsia="黑体"/>
                <w:sz w:val="28"/>
                <w:highlight w:val="none"/>
                <w:lang w:val="en"/>
              </w:rPr>
              <w:t>in</w:t>
            </w:r>
            <w:r>
              <w:rPr>
                <w:rFonts w:hint="eastAsia" w:ascii="黑体" w:hAnsi="黑体" w:eastAsia="黑体"/>
                <w:sz w:val="28"/>
                <w:highlight w:val="none"/>
              </w:rPr>
              <w:t xml:space="preserve"> fireworks</w:t>
            </w:r>
          </w:p>
        </w:tc>
        <w:tc>
          <w:tcPr>
            <w:tcW w:w="9855" w:type="dxa"/>
            <w:tcBorders>
              <w:top w:val="nil"/>
              <w:left w:val="nil"/>
              <w:bottom w:val="nil"/>
              <w:right w:val="nil"/>
            </w:tcBorders>
          </w:tcPr>
          <w:p w14:paraId="46387903">
            <w:pPr>
              <w:pStyle w:val="12"/>
              <w:framePr w:w="9586" w:h="7426" w:hRule="exact" w:x="1463" w:y="6132"/>
            </w:pPr>
            <w:r>
              <mc:AlternateContent>
                <mc:Choice Requires="wps">
                  <w:drawing>
                    <wp:anchor distT="0" distB="0" distL="114300" distR="114300" simplePos="0" relativeHeight="251661312" behindDoc="1" locked="1" layoutInCell="1" allowOverlap="1">
                      <wp:simplePos x="0" y="0"/>
                      <wp:positionH relativeFrom="column">
                        <wp:posOffset>2200910</wp:posOffset>
                      </wp:positionH>
                      <wp:positionV relativeFrom="paragraph">
                        <wp:posOffset>573405</wp:posOffset>
                      </wp:positionV>
                      <wp:extent cx="1905000" cy="254000"/>
                      <wp:effectExtent l="0" t="0" r="0" b="12700"/>
                      <wp:wrapNone/>
                      <wp:docPr id="3" name="RQ"/>
                      <wp:cNvGraphicFramePr/>
                      <a:graphic xmlns:a="http://schemas.openxmlformats.org/drawingml/2006/main">
                        <a:graphicData uri="http://schemas.microsoft.com/office/word/2010/wordprocessingShape">
                          <wps:wsp>
                            <wps:cNvSpPr/>
                            <wps:spPr>
                              <a:xfrm>
                                <a:off x="0" y="0"/>
                                <a:ext cx="1905000" cy="254000"/>
                              </a:xfrm>
                              <a:prstGeom prst="rect">
                                <a:avLst/>
                              </a:prstGeom>
                              <a:solidFill>
                                <a:srgbClr val="FFFFFF"/>
                              </a:solidFill>
                              <a:ln>
                                <a:noFill/>
                              </a:ln>
                            </wps:spPr>
                            <wps:txbx>
                              <w:txbxContent>
                                <w:p w14:paraId="12102648"/>
                              </w:txbxContent>
                            </wps:txbx>
                            <wps:bodyPr wrap="square" upright="1"/>
                          </wps:wsp>
                        </a:graphicData>
                      </a:graphic>
                    </wp:anchor>
                  </w:drawing>
                </mc:Choice>
                <mc:Fallback>
                  <w:pict>
                    <v:rect id="RQ" o:spid="_x0000_s1026" o:spt="1" style="position:absolute;left:0pt;margin-left:173.3pt;margin-top:45.15pt;height:20pt;width:150pt;z-index:-251655168;mso-width-relative:page;mso-height-relative:page;" fillcolor="#FFFFFF" filled="t" stroked="f" coordsize="21600,21600" o:gfxdata="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AFia6S1QAA&#10;AAoBAAAPAAAAAAAAAAEAIAAAACIAAABkcnMvZG93bnJldi54bWxQSwECFAAUAAAACACHTuJAvUvD&#10;OK8BAAByAwAADgAAAAAAAAABACAAAAAkAQAAZHJzL2Uyb0RvYy54bWxQSwUGAAAAAAYABgBZAQAA&#10;RQUAAAAA&#10;">
                      <v:fill on="t" focussize="0,0"/>
                      <v:stroke on="f"/>
                      <v:imagedata o:title=""/>
                      <o:lock v:ext="edit" aspectratio="f"/>
                      <v:textbox>
                        <w:txbxContent>
                          <w:p w14:paraId="12102648"/>
                        </w:txbxContent>
                      </v:textbox>
                      <w10:anchorlock/>
                    </v:rect>
                  </w:pict>
                </mc:Fallback>
              </mc:AlternateContent>
            </w:r>
            <w:r>
              <mc:AlternateContent>
                <mc:Choice Requires="wps">
                  <w:drawing>
                    <wp:anchor distT="0" distB="0" distL="114300" distR="114300" simplePos="0" relativeHeight="251660288" behindDoc="1" locked="0" layoutInCell="1" allowOverlap="1">
                      <wp:simplePos x="0" y="0"/>
                      <wp:positionH relativeFrom="column">
                        <wp:posOffset>2454910</wp:posOffset>
                      </wp:positionH>
                      <wp:positionV relativeFrom="paragraph">
                        <wp:posOffset>255905</wp:posOffset>
                      </wp:positionV>
                      <wp:extent cx="1270000" cy="304800"/>
                      <wp:effectExtent l="0" t="0" r="6350" b="0"/>
                      <wp:wrapNone/>
                      <wp:docPr id="2" name="LB"/>
                      <wp:cNvGraphicFramePr/>
                      <a:graphic xmlns:a="http://schemas.openxmlformats.org/drawingml/2006/main">
                        <a:graphicData uri="http://schemas.microsoft.com/office/word/2010/wordprocessingShape">
                          <wps:wsp>
                            <wps:cNvSpPr/>
                            <wps:spPr>
                              <a:xfrm>
                                <a:off x="0" y="0"/>
                                <a:ext cx="1270000" cy="304800"/>
                              </a:xfrm>
                              <a:prstGeom prst="rect">
                                <a:avLst/>
                              </a:prstGeom>
                              <a:solidFill>
                                <a:srgbClr val="FFFFFF"/>
                              </a:solidFill>
                              <a:ln>
                                <a:noFill/>
                              </a:ln>
                            </wps:spPr>
                            <wps:txbx>
                              <w:txbxContent>
                                <w:p w14:paraId="001F05B8"/>
                              </w:txbxContent>
                            </wps:txbx>
                            <wps:bodyPr wrap="square" upright="1"/>
                          </wps:wsp>
                        </a:graphicData>
                      </a:graphic>
                    </wp:anchor>
                  </w:drawing>
                </mc:Choice>
                <mc:Fallback>
                  <w:pict>
                    <v:rect id="LB" o:spid="_x0000_s1026" o:spt="1" style="position:absolute;left:0pt;margin-left:193.3pt;margin-top:20.15pt;height:24pt;width:100pt;z-index:-251656192;mso-width-relative:page;mso-height-relative:page;" fillcolor="#FFFFFF" filled="t" stroked="f" coordsize="21600,21600" o:gfxdata="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A+GL5dYA&#10;AAAJAQAADwAAAAAAAAABACAAAAAiAAAAZHJzL2Rvd25yZXYueG1sUEsBAhQAFAAAAAgAh07iQF0P&#10;pQGvAQAAcgMAAA4AAAAAAAAAAQAgAAAAJQEAAGRycy9lMm9Eb2MueG1sUEsFBgAAAAAGAAYAWQEA&#10;AEYFAAAAAA==&#10;">
                      <v:fill on="t" focussize="0,0"/>
                      <v:stroke on="f"/>
                      <v:imagedata o:title=""/>
                      <o:lock v:ext="edit" aspectratio="f"/>
                      <v:textbox>
                        <w:txbxContent>
                          <w:p w14:paraId="001F05B8"/>
                        </w:txbxContent>
                      </v:textbox>
                    </v:rect>
                  </w:pict>
                </mc:Fallback>
              </mc:AlternateContent>
            </w:r>
          </w:p>
        </w:tc>
      </w:tr>
      <w:tr w14:paraId="47392F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14:paraId="10C763FB">
            <w:pPr>
              <w:pStyle w:val="15"/>
              <w:framePr w:w="9586" w:h="7426" w:hRule="exact" w:x="1463" w:y="6132"/>
              <w:spacing w:before="440" w:line="400" w:lineRule="exact"/>
              <w:rPr>
                <w:rFonts w:hint="eastAsia" w:ascii="黑体" w:hAnsi="黑体" w:eastAsia="黑体"/>
                <w:sz w:val="28"/>
              </w:rPr>
            </w:pPr>
            <w:r>
              <w:rPr>
                <w:rFonts w:hint="eastAsia" w:ascii="黑体" w:hAnsi="黑体" w:eastAsia="黑体"/>
                <w:sz w:val="28"/>
              </w:rPr>
              <w:t>（征求意见稿）</w:t>
            </w:r>
          </w:p>
          <w:p w14:paraId="516F0DC8">
            <w:pPr>
              <w:pStyle w:val="15"/>
              <w:framePr w:w="9586" w:h="7426" w:hRule="exact" w:x="1463" w:y="6132"/>
              <w:spacing w:before="440" w:after="0" w:line="400" w:lineRule="exact"/>
              <w:rPr>
                <w:rFonts w:hint="eastAsia" w:hAnsi="宋体"/>
                <w:sz w:val="24"/>
                <w:szCs w:val="24"/>
              </w:rPr>
            </w:pPr>
          </w:p>
        </w:tc>
        <w:tc>
          <w:tcPr>
            <w:tcW w:w="9855" w:type="dxa"/>
            <w:tcBorders>
              <w:top w:val="nil"/>
              <w:left w:val="nil"/>
              <w:bottom w:val="nil"/>
              <w:right w:val="nil"/>
            </w:tcBorders>
          </w:tcPr>
          <w:p w14:paraId="191181B2">
            <w:pPr>
              <w:pStyle w:val="15"/>
              <w:framePr w:w="9586" w:h="7426" w:hRule="exact" w:x="1463" w:y="6132"/>
            </w:pPr>
          </w:p>
        </w:tc>
      </w:tr>
    </w:tbl>
    <w:p w14:paraId="6D1ADAC6">
      <w:pPr>
        <w:pStyle w:val="16"/>
        <w:framePr w:hAnchor="page" w:x="1640" w:y="14163"/>
      </w:pPr>
      <w:r>
        <w:rPr>
          <w:rFonts w:hint="eastAsia" w:ascii="黑体"/>
        </w:rPr>
        <w:t>2026</w:t>
      </w:r>
      <w:r>
        <w:rPr>
          <w:rFonts w:ascii="黑体"/>
        </w:rPr>
        <w:t>-</w:t>
      </w:r>
      <w:r>
        <w:rPr>
          <w:rFonts w:hint="eastAsia" w:ascii="黑体"/>
        </w:rPr>
        <w:t>XX</w:t>
      </w:r>
      <w:r>
        <w:rPr>
          <w:rFonts w:ascii="黑体"/>
        </w:rPr>
        <w:t>-</w:t>
      </w:r>
      <w:r>
        <w:t xml:space="preserve"> </w:t>
      </w:r>
      <w:r>
        <w:rPr>
          <w:rFonts w:hint="eastAsia" w:ascii="黑体"/>
        </w:rPr>
        <w:t>XX</w:t>
      </w:r>
      <w:r>
        <w:rPr>
          <w:rFonts w:hint="eastAsia"/>
        </w:rPr>
        <w:t>发布</w:t>
      </w:r>
    </w:p>
    <w:p w14:paraId="4DC96D8D">
      <w:pPr>
        <w:pStyle w:val="18"/>
        <w:framePr w:hAnchor="page" w:x="6689" w:y="14142"/>
        <w:ind w:right="140"/>
      </w:pPr>
      <w:r>
        <w:rPr>
          <w:rFonts w:hint="eastAsia" w:ascii="黑体"/>
        </w:rPr>
        <w:t>2026</w:t>
      </w:r>
      <w:r>
        <w:rPr>
          <w:rFonts w:ascii="黑体"/>
        </w:rPr>
        <w:t>-</w:t>
      </w:r>
      <w:r>
        <w:rPr>
          <w:rFonts w:hint="eastAsia" w:ascii="黑体"/>
        </w:rPr>
        <w:t>XX</w:t>
      </w:r>
      <w:r>
        <w:rPr>
          <w:rFonts w:ascii="黑体"/>
        </w:rPr>
        <w:t>-</w:t>
      </w:r>
      <w:r>
        <w:t xml:space="preserve"> </w:t>
      </w:r>
      <w:r>
        <w:rPr>
          <w:rFonts w:hint="eastAsia" w:ascii="黑体"/>
        </w:rPr>
        <w:t>XX</w:t>
      </w:r>
      <w:r>
        <w:rPr>
          <w:rFonts w:hint="eastAsia"/>
        </w:rPr>
        <w:t>实施</w:t>
      </w:r>
    </w:p>
    <w:p w14:paraId="4238E766">
      <w:pPr>
        <w:framePr w:w="7938" w:h="1134" w:hRule="exact" w:hSpace="125" w:vSpace="181" w:wrap="around" w:vAnchor="page" w:hAnchor="page" w:x="2150" w:y="15310" w:anchorLock="1"/>
        <w:widowControl/>
        <w:numPr>
          <w:ilvl w:val="0"/>
          <w:numId w:val="2"/>
        </w:numPr>
        <w:spacing w:line="357" w:lineRule="atLeast"/>
        <w:jc w:val="center"/>
        <w:textAlignment w:val="baseline"/>
        <w:rPr>
          <w:rFonts w:ascii="宋体"/>
          <w:b/>
          <w:spacing w:val="20"/>
          <w:w w:val="135"/>
          <w:kern w:val="0"/>
          <w:sz w:val="36"/>
          <w:szCs w:val="20"/>
        </w:rPr>
      </w:pPr>
      <w:r>
        <w:rPr>
          <w:rFonts w:hint="eastAsia" w:ascii="宋体"/>
          <w:b/>
          <w:spacing w:val="20"/>
          <w:w w:val="135"/>
          <w:kern w:val="0"/>
          <w:sz w:val="36"/>
          <w:szCs w:val="20"/>
        </w:rPr>
        <w:t xml:space="preserve">中华人民共和国应急管理部 </w:t>
      </w:r>
      <w:r>
        <w:rPr>
          <w:rFonts w:hint="eastAsia" w:ascii="黑体" w:eastAsia="黑体"/>
          <w:spacing w:val="22"/>
          <w:kern w:val="0"/>
          <w:position w:val="3"/>
          <w:sz w:val="28"/>
          <w:szCs w:val="28"/>
        </w:rPr>
        <w:t>发布</w:t>
      </w:r>
    </w:p>
    <w:p w14:paraId="0DDAB193">
      <w:pPr>
        <w:pStyle w:val="20"/>
        <w:ind w:firstLine="0" w:firstLineChars="0"/>
        <w:sectPr>
          <w:headerReference r:id="rId5" w:type="even"/>
          <w:footerReference r:id="rId6" w:type="even"/>
          <w:pgSz w:w="11906" w:h="16838"/>
          <w:pgMar w:top="567" w:right="1134" w:bottom="1134" w:left="1417" w:header="0" w:footer="0" w:gutter="0"/>
          <w:pgNumType w:start="1"/>
          <w:cols w:space="720" w:num="1"/>
          <w:docGrid w:type="linesAndChars" w:linePitch="312" w:charSpace="0"/>
        </w:sectPr>
      </w:pPr>
      <w:r>
        <mc:AlternateContent>
          <mc:Choice Requires="wps">
            <w:drawing>
              <wp:anchor distT="0" distB="0" distL="114300" distR="114300" simplePos="0" relativeHeight="251664384" behindDoc="0" locked="0" layoutInCell="1" allowOverlap="1">
                <wp:simplePos x="0" y="0"/>
                <wp:positionH relativeFrom="column">
                  <wp:posOffset>-34925</wp:posOffset>
                </wp:positionH>
                <wp:positionV relativeFrom="paragraph">
                  <wp:posOffset>8996680</wp:posOffset>
                </wp:positionV>
                <wp:extent cx="6025515" cy="0"/>
                <wp:effectExtent l="0" t="4445" r="0" b="0"/>
                <wp:wrapNone/>
                <wp:docPr id="6" name="直线 11"/>
                <wp:cNvGraphicFramePr/>
                <a:graphic xmlns:a="http://schemas.openxmlformats.org/drawingml/2006/main">
                  <a:graphicData uri="http://schemas.microsoft.com/office/word/2010/wordprocessingShape">
                    <wps:wsp>
                      <wps:cNvCnPr/>
                      <wps:spPr>
                        <a:xfrm>
                          <a:off x="0" y="0"/>
                          <a:ext cx="602551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11" o:spid="_x0000_s1026" o:spt="20" style="position:absolute;left:0pt;margin-left:-2.75pt;margin-top:708.4pt;height:0pt;width:474.45pt;z-index:251664384;mso-width-relative:page;mso-height-relative:page;" filled="f" stroked="t" coordsize="21600,21600" o:gfxdata="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2x14N1wAAAAwBAAAP&#10;AAAAAAAAAAEAIAAAACIAAABkcnMvZG93bnJldi54bWxQSwECFAAUAAAACACHTuJAWT0sleABAADQ&#10;AwAADgAAAAAAAAABACAAAAAmAQAAZHJzL2Uyb0RvYy54bWxQSwUGAAAAAAYABgBZAQAAeAUAAAAA&#10;">
                <v:fill on="f" focussize="0,0"/>
                <v:stroke color="#000000" joinstyle="round"/>
                <v:imagedata o:title=""/>
                <o:lock v:ext="edit" aspectratio="f"/>
              </v:line>
            </w:pict>
          </mc:Fallback>
        </mc:AlternateContent>
      </w:r>
      <w:bookmarkStart w:id="83" w:name="_GoBack"/>
      <w:r>
        <mc:AlternateContent>
          <mc:Choice Requires="wps">
            <w:drawing>
              <wp:anchor distT="0" distB="0" distL="114300" distR="114300" simplePos="0" relativeHeight="251662336" behindDoc="0" locked="0" layoutInCell="1" allowOverlap="1">
                <wp:simplePos x="0" y="0"/>
                <wp:positionH relativeFrom="column">
                  <wp:posOffset>-635</wp:posOffset>
                </wp:positionH>
                <wp:positionV relativeFrom="paragraph">
                  <wp:posOffset>2339975</wp:posOffset>
                </wp:positionV>
                <wp:extent cx="6025515" cy="0"/>
                <wp:effectExtent l="0" t="4445" r="0" b="0"/>
                <wp:wrapNone/>
                <wp:docPr id="5" name="直线 11"/>
                <wp:cNvGraphicFramePr/>
                <a:graphic xmlns:a="http://schemas.openxmlformats.org/drawingml/2006/main">
                  <a:graphicData uri="http://schemas.microsoft.com/office/word/2010/wordprocessingShape">
                    <wps:wsp>
                      <wps:cNvCnPr/>
                      <wps:spPr>
                        <a:xfrm>
                          <a:off x="0" y="0"/>
                          <a:ext cx="602551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11" o:spid="_x0000_s1026" o:spt="20" style="position:absolute;left:0pt;margin-left:-0.05pt;margin-top:184.25pt;height:0pt;width:474.45pt;z-index:251662336;mso-width-relative:page;mso-height-relative:page;" filled="f" stroked="t" coordsize="21600,21600" o:gfxdata="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JzJRJdYAAAAJAQAADwAA&#10;AAAAAAABACAAAAAiAAAAZHJzL2Rvd25yZXYueG1sUEsBAhQAFAAAAAgAh07iQAdP+JzfAQAA0AMA&#10;AA4AAAAAAAAAAQAgAAAAJQEAAGRycy9lMm9Eb2MueG1sUEsFBgAAAAAGAAYAWQEAAHYFAAAAAA==&#10;">
                <v:fill on="f" focussize="0,0"/>
                <v:stroke color="#000000" joinstyle="round"/>
                <v:imagedata o:title=""/>
                <o:lock v:ext="edit" aspectratio="f"/>
              </v:line>
            </w:pict>
          </mc:Fallback>
        </mc:AlternateContent>
      </w:r>
      <w:bookmarkEnd w:id="83"/>
    </w:p>
    <w:bookmarkEnd w:id="0"/>
    <w:bookmarkEnd w:id="1"/>
    <w:bookmarkEnd w:id="2"/>
    <w:bookmarkEnd w:id="3"/>
    <w:bookmarkEnd w:id="4"/>
    <w:bookmarkEnd w:id="5"/>
    <w:p w14:paraId="7E68293F">
      <w:pPr>
        <w:pStyle w:val="21"/>
        <w:spacing w:line="440" w:lineRule="exact"/>
        <w:ind w:firstLine="640"/>
        <w:outlineLvl w:val="9"/>
      </w:pPr>
      <w:bookmarkStart w:id="6" w:name="_Toc498633019"/>
      <w:bookmarkStart w:id="7" w:name="_Toc145066636"/>
      <w:bookmarkStart w:id="8" w:name="_Toc31461954"/>
      <w:bookmarkStart w:id="9" w:name="_Toc533844618"/>
      <w:bookmarkStart w:id="10" w:name="_Toc381636511"/>
      <w:bookmarkStart w:id="11" w:name="_Toc115765332"/>
      <w:bookmarkStart w:id="12" w:name="_Toc445279661"/>
      <w:bookmarkStart w:id="13" w:name="_Toc486926300"/>
      <w:bookmarkStart w:id="14" w:name="_Toc498631594"/>
      <w:bookmarkStart w:id="15" w:name="_Toc527474450"/>
      <w:bookmarkStart w:id="16" w:name="_Toc86740070"/>
      <w:bookmarkStart w:id="17" w:name="_Toc446145497"/>
      <w:bookmarkStart w:id="18" w:name="_Toc86742510"/>
      <w:bookmarkStart w:id="19" w:name="_Toc86739154"/>
      <w:bookmarkStart w:id="20" w:name="_Toc8951"/>
      <w:bookmarkStart w:id="21" w:name="_Toc498085591"/>
      <w:bookmarkStart w:id="22" w:name="_Toc486931968"/>
      <w:bookmarkStart w:id="23" w:name="_Toc445280622"/>
      <w:bookmarkStart w:id="24" w:name="_Toc530236797"/>
      <w:bookmarkStart w:id="25" w:name="_Toc446316708"/>
      <w:bookmarkStart w:id="26" w:name="_Toc10183"/>
      <w:bookmarkStart w:id="27" w:name="_Toc445279565"/>
      <w:bookmarkStart w:id="28" w:name="_Toc498166119"/>
      <w:bookmarkStart w:id="29" w:name="_Toc486926156"/>
      <w:bookmarkStart w:id="30" w:name="_Toc487127031"/>
      <w:bookmarkStart w:id="31" w:name="_Toc381683210"/>
      <w:bookmarkStart w:id="32" w:name="_Toc527474319"/>
      <w:bookmarkStart w:id="33" w:name="_Toc527123207"/>
      <w:r>
        <w:rPr>
          <w:rFonts w:hint="eastAsia"/>
        </w:rPr>
        <w:t>目</w:t>
      </w:r>
      <w:bookmarkStart w:id="34" w:name="BKML"/>
      <w:r>
        <w:rPr>
          <w:rFonts w:hint="eastAsia"/>
        </w:rPr>
        <w:t>  次</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14:paraId="4ECFEAA8">
      <w:pPr>
        <w:pStyle w:val="3"/>
        <w:tabs>
          <w:tab w:val="right" w:leader="dot" w:pos="9354"/>
        </w:tabs>
        <w:rPr>
          <w:rFonts w:hint="eastAsia" w:ascii="宋体" w:hAnsi="宋体" w:cs="宋体"/>
          <w:b w:val="0"/>
          <w:bCs w:val="0"/>
          <w:sz w:val="21"/>
          <w:szCs w:val="21"/>
        </w:rPr>
      </w:pPr>
      <w:r>
        <w:rPr>
          <w:rFonts w:ascii="宋体" w:hAnsi="宋体"/>
          <w:b w:val="0"/>
          <w:sz w:val="21"/>
          <w:szCs w:val="21"/>
          <w:highlight w:val="yellow"/>
        </w:rPr>
        <w:fldChar w:fldCharType="begin"/>
      </w:r>
      <w:r>
        <w:rPr>
          <w:rFonts w:ascii="宋体" w:hAnsi="宋体"/>
          <w:b w:val="0"/>
          <w:sz w:val="21"/>
          <w:szCs w:val="21"/>
          <w:highlight w:val="yellow"/>
        </w:rPr>
        <w:instrText xml:space="preserve"> TOC \o "1-1" \u </w:instrText>
      </w:r>
      <w:r>
        <w:rPr>
          <w:rFonts w:ascii="宋体" w:hAnsi="宋体"/>
          <w:b w:val="0"/>
          <w:sz w:val="21"/>
          <w:szCs w:val="21"/>
          <w:highlight w:val="yellow"/>
        </w:rPr>
        <w:fldChar w:fldCharType="separate"/>
      </w:r>
      <w:r>
        <w:rPr>
          <w:rFonts w:hint="eastAsia" w:ascii="宋体" w:hAnsi="宋体" w:cs="宋体"/>
          <w:b w:val="0"/>
          <w:bCs w:val="0"/>
          <w:sz w:val="21"/>
          <w:szCs w:val="21"/>
        </w:rPr>
        <w:t>前言</w:t>
      </w:r>
      <w:r>
        <w:rPr>
          <w:rFonts w:hint="eastAsia" w:ascii="宋体" w:hAnsi="宋体" w:cs="宋体"/>
          <w:b w:val="0"/>
          <w:bCs w:val="0"/>
          <w:sz w:val="21"/>
          <w:szCs w:val="21"/>
        </w:rPr>
        <w:tab/>
      </w:r>
      <w:r>
        <w:rPr>
          <w:rFonts w:hint="eastAsia" w:ascii="宋体" w:hAnsi="宋体" w:cs="宋体"/>
          <w:b w:val="0"/>
          <w:bCs w:val="0"/>
          <w:sz w:val="21"/>
          <w:szCs w:val="21"/>
        </w:rPr>
        <w:fldChar w:fldCharType="begin"/>
      </w:r>
      <w:r>
        <w:rPr>
          <w:rFonts w:hint="eastAsia" w:ascii="宋体" w:hAnsi="宋体" w:cs="宋体"/>
          <w:b w:val="0"/>
          <w:bCs w:val="0"/>
          <w:sz w:val="21"/>
          <w:szCs w:val="21"/>
        </w:rPr>
        <w:instrText xml:space="preserve"> PAGEREF _Toc25377 \h </w:instrText>
      </w:r>
      <w:r>
        <w:rPr>
          <w:rFonts w:hint="eastAsia" w:ascii="宋体" w:hAnsi="宋体" w:cs="宋体"/>
          <w:b w:val="0"/>
          <w:bCs w:val="0"/>
          <w:sz w:val="21"/>
          <w:szCs w:val="21"/>
        </w:rPr>
        <w:fldChar w:fldCharType="separate"/>
      </w:r>
      <w:r>
        <w:rPr>
          <w:rFonts w:hint="eastAsia" w:ascii="宋体" w:hAnsi="宋体" w:cs="宋体"/>
          <w:b w:val="0"/>
          <w:bCs w:val="0"/>
          <w:sz w:val="21"/>
          <w:szCs w:val="21"/>
        </w:rPr>
        <w:t>II</w:t>
      </w:r>
      <w:r>
        <w:rPr>
          <w:rFonts w:hint="eastAsia" w:ascii="宋体" w:hAnsi="宋体" w:cs="宋体"/>
          <w:b w:val="0"/>
          <w:bCs w:val="0"/>
          <w:sz w:val="21"/>
          <w:szCs w:val="21"/>
        </w:rPr>
        <w:fldChar w:fldCharType="end"/>
      </w:r>
    </w:p>
    <w:p w14:paraId="6B8D53A8">
      <w:pPr>
        <w:pStyle w:val="3"/>
        <w:tabs>
          <w:tab w:val="right" w:leader="dot" w:pos="9354"/>
        </w:tabs>
        <w:rPr>
          <w:rFonts w:hint="eastAsia" w:ascii="宋体" w:hAnsi="宋体" w:cs="宋体"/>
          <w:b w:val="0"/>
          <w:bCs w:val="0"/>
          <w:sz w:val="21"/>
          <w:szCs w:val="21"/>
        </w:rPr>
      </w:pPr>
      <w:r>
        <w:rPr>
          <w:rFonts w:hint="eastAsia" w:ascii="宋体" w:hAnsi="宋体" w:cs="宋体"/>
          <w:b w:val="0"/>
          <w:bCs w:val="0"/>
          <w:sz w:val="21"/>
          <w:szCs w:val="22"/>
        </w:rPr>
        <w:t xml:space="preserve">1 </w:t>
      </w:r>
      <w:r>
        <w:rPr>
          <w:rFonts w:hint="eastAsia" w:ascii="宋体" w:hAnsi="宋体" w:cs="宋体"/>
          <w:b w:val="0"/>
          <w:bCs w:val="0"/>
          <w:sz w:val="21"/>
          <w:szCs w:val="21"/>
        </w:rPr>
        <w:t>范围</w:t>
      </w:r>
      <w:r>
        <w:rPr>
          <w:rFonts w:hint="eastAsia" w:ascii="宋体" w:hAnsi="宋体" w:cs="宋体"/>
          <w:b w:val="0"/>
          <w:bCs w:val="0"/>
          <w:sz w:val="21"/>
          <w:szCs w:val="21"/>
        </w:rPr>
        <w:tab/>
      </w:r>
      <w:r>
        <w:rPr>
          <w:rFonts w:hint="eastAsia" w:ascii="宋体" w:hAnsi="宋体" w:cs="宋体"/>
          <w:b w:val="0"/>
          <w:bCs w:val="0"/>
          <w:sz w:val="21"/>
          <w:szCs w:val="21"/>
        </w:rPr>
        <w:fldChar w:fldCharType="begin"/>
      </w:r>
      <w:r>
        <w:rPr>
          <w:rFonts w:hint="eastAsia" w:ascii="宋体" w:hAnsi="宋体" w:cs="宋体"/>
          <w:b w:val="0"/>
          <w:bCs w:val="0"/>
          <w:sz w:val="21"/>
          <w:szCs w:val="21"/>
        </w:rPr>
        <w:instrText xml:space="preserve"> PAGEREF _Toc26079 \h </w:instrText>
      </w:r>
      <w:r>
        <w:rPr>
          <w:rFonts w:hint="eastAsia" w:ascii="宋体" w:hAnsi="宋体" w:cs="宋体"/>
          <w:b w:val="0"/>
          <w:bCs w:val="0"/>
          <w:sz w:val="21"/>
          <w:szCs w:val="21"/>
        </w:rPr>
        <w:fldChar w:fldCharType="separate"/>
      </w:r>
      <w:r>
        <w:rPr>
          <w:rFonts w:hint="eastAsia" w:ascii="宋体" w:hAnsi="宋体" w:cs="宋体"/>
          <w:b w:val="0"/>
          <w:bCs w:val="0"/>
          <w:sz w:val="21"/>
          <w:szCs w:val="21"/>
        </w:rPr>
        <w:t>1</w:t>
      </w:r>
      <w:r>
        <w:rPr>
          <w:rFonts w:hint="eastAsia" w:ascii="宋体" w:hAnsi="宋体" w:cs="宋体"/>
          <w:b w:val="0"/>
          <w:bCs w:val="0"/>
          <w:sz w:val="21"/>
          <w:szCs w:val="21"/>
        </w:rPr>
        <w:fldChar w:fldCharType="end"/>
      </w:r>
    </w:p>
    <w:p w14:paraId="32DA3304">
      <w:pPr>
        <w:pStyle w:val="3"/>
        <w:tabs>
          <w:tab w:val="right" w:leader="dot" w:pos="9354"/>
        </w:tabs>
        <w:rPr>
          <w:rFonts w:hint="eastAsia" w:ascii="宋体" w:hAnsi="宋体" w:cs="宋体"/>
          <w:b w:val="0"/>
          <w:bCs w:val="0"/>
          <w:sz w:val="21"/>
          <w:szCs w:val="21"/>
        </w:rPr>
      </w:pPr>
      <w:r>
        <w:rPr>
          <w:rFonts w:hint="eastAsia" w:ascii="宋体" w:hAnsi="宋体" w:cs="宋体"/>
          <w:b w:val="0"/>
          <w:bCs w:val="0"/>
          <w:sz w:val="21"/>
          <w:szCs w:val="22"/>
        </w:rPr>
        <w:t xml:space="preserve">2 </w:t>
      </w:r>
      <w:r>
        <w:rPr>
          <w:rFonts w:hint="eastAsia" w:ascii="宋体" w:hAnsi="宋体" w:cs="宋体"/>
          <w:b w:val="0"/>
          <w:bCs w:val="0"/>
          <w:sz w:val="21"/>
          <w:szCs w:val="21"/>
        </w:rPr>
        <w:t>规范性引用文件</w:t>
      </w:r>
      <w:r>
        <w:rPr>
          <w:rFonts w:hint="eastAsia" w:ascii="宋体" w:hAnsi="宋体" w:cs="宋体"/>
          <w:b w:val="0"/>
          <w:bCs w:val="0"/>
          <w:sz w:val="21"/>
          <w:szCs w:val="21"/>
        </w:rPr>
        <w:tab/>
      </w:r>
      <w:r>
        <w:rPr>
          <w:rFonts w:hint="eastAsia" w:ascii="宋体" w:hAnsi="宋体" w:cs="宋体"/>
          <w:b w:val="0"/>
          <w:bCs w:val="0"/>
          <w:sz w:val="21"/>
          <w:szCs w:val="21"/>
        </w:rPr>
        <w:fldChar w:fldCharType="begin"/>
      </w:r>
      <w:r>
        <w:rPr>
          <w:rFonts w:hint="eastAsia" w:ascii="宋体" w:hAnsi="宋体" w:cs="宋体"/>
          <w:b w:val="0"/>
          <w:bCs w:val="0"/>
          <w:sz w:val="21"/>
          <w:szCs w:val="21"/>
        </w:rPr>
        <w:instrText xml:space="preserve"> PAGEREF _Toc18270 \h </w:instrText>
      </w:r>
      <w:r>
        <w:rPr>
          <w:rFonts w:hint="eastAsia" w:ascii="宋体" w:hAnsi="宋体" w:cs="宋体"/>
          <w:b w:val="0"/>
          <w:bCs w:val="0"/>
          <w:sz w:val="21"/>
          <w:szCs w:val="21"/>
        </w:rPr>
        <w:fldChar w:fldCharType="separate"/>
      </w:r>
      <w:r>
        <w:rPr>
          <w:rFonts w:hint="eastAsia" w:ascii="宋体" w:hAnsi="宋体" w:cs="宋体"/>
          <w:b w:val="0"/>
          <w:bCs w:val="0"/>
          <w:sz w:val="21"/>
          <w:szCs w:val="21"/>
        </w:rPr>
        <w:t>1</w:t>
      </w:r>
      <w:r>
        <w:rPr>
          <w:rFonts w:hint="eastAsia" w:ascii="宋体" w:hAnsi="宋体" w:cs="宋体"/>
          <w:b w:val="0"/>
          <w:bCs w:val="0"/>
          <w:sz w:val="21"/>
          <w:szCs w:val="21"/>
        </w:rPr>
        <w:fldChar w:fldCharType="end"/>
      </w:r>
    </w:p>
    <w:p w14:paraId="440C68E1">
      <w:pPr>
        <w:pStyle w:val="3"/>
        <w:tabs>
          <w:tab w:val="right" w:leader="dot" w:pos="9354"/>
        </w:tabs>
        <w:rPr>
          <w:rFonts w:hint="eastAsia" w:ascii="宋体" w:hAnsi="宋体" w:cs="宋体"/>
          <w:b w:val="0"/>
          <w:bCs w:val="0"/>
          <w:sz w:val="21"/>
          <w:szCs w:val="21"/>
        </w:rPr>
      </w:pPr>
      <w:r>
        <w:rPr>
          <w:rFonts w:hint="eastAsia" w:ascii="宋体" w:hAnsi="宋体" w:cs="宋体"/>
          <w:b w:val="0"/>
          <w:bCs w:val="0"/>
          <w:sz w:val="21"/>
          <w:szCs w:val="22"/>
        </w:rPr>
        <w:t xml:space="preserve">3 </w:t>
      </w:r>
      <w:r>
        <w:rPr>
          <w:rFonts w:hint="eastAsia" w:ascii="宋体" w:hAnsi="宋体" w:cs="宋体"/>
          <w:b w:val="0"/>
          <w:bCs w:val="0"/>
          <w:sz w:val="21"/>
          <w:szCs w:val="21"/>
        </w:rPr>
        <w:t>术语和定义</w:t>
      </w:r>
      <w:r>
        <w:rPr>
          <w:rFonts w:hint="eastAsia" w:ascii="宋体" w:hAnsi="宋体" w:cs="宋体"/>
          <w:b w:val="0"/>
          <w:bCs w:val="0"/>
          <w:sz w:val="21"/>
          <w:szCs w:val="21"/>
        </w:rPr>
        <w:tab/>
      </w:r>
      <w:r>
        <w:rPr>
          <w:rFonts w:hint="eastAsia" w:ascii="宋体" w:hAnsi="宋体" w:cs="宋体"/>
          <w:b w:val="0"/>
          <w:bCs w:val="0"/>
          <w:sz w:val="21"/>
          <w:szCs w:val="21"/>
        </w:rPr>
        <w:fldChar w:fldCharType="begin"/>
      </w:r>
      <w:r>
        <w:rPr>
          <w:rFonts w:hint="eastAsia" w:ascii="宋体" w:hAnsi="宋体" w:cs="宋体"/>
          <w:b w:val="0"/>
          <w:bCs w:val="0"/>
          <w:sz w:val="21"/>
          <w:szCs w:val="21"/>
        </w:rPr>
        <w:instrText xml:space="preserve"> PAGEREF _Toc12519 \h </w:instrText>
      </w:r>
      <w:r>
        <w:rPr>
          <w:rFonts w:hint="eastAsia" w:ascii="宋体" w:hAnsi="宋体" w:cs="宋体"/>
          <w:b w:val="0"/>
          <w:bCs w:val="0"/>
          <w:sz w:val="21"/>
          <w:szCs w:val="21"/>
        </w:rPr>
        <w:fldChar w:fldCharType="separate"/>
      </w:r>
      <w:r>
        <w:rPr>
          <w:rFonts w:hint="eastAsia" w:ascii="宋体" w:hAnsi="宋体" w:cs="宋体"/>
          <w:b w:val="0"/>
          <w:bCs w:val="0"/>
          <w:sz w:val="21"/>
          <w:szCs w:val="21"/>
        </w:rPr>
        <w:t>1</w:t>
      </w:r>
      <w:r>
        <w:rPr>
          <w:rFonts w:hint="eastAsia" w:ascii="宋体" w:hAnsi="宋体" w:cs="宋体"/>
          <w:b w:val="0"/>
          <w:bCs w:val="0"/>
          <w:sz w:val="21"/>
          <w:szCs w:val="21"/>
        </w:rPr>
        <w:fldChar w:fldCharType="end"/>
      </w:r>
    </w:p>
    <w:p w14:paraId="471EF5CF">
      <w:pPr>
        <w:pStyle w:val="3"/>
        <w:tabs>
          <w:tab w:val="right" w:leader="dot" w:pos="9354"/>
        </w:tabs>
        <w:rPr>
          <w:rFonts w:hint="eastAsia" w:ascii="宋体" w:hAnsi="宋体" w:cs="宋体"/>
          <w:b w:val="0"/>
          <w:bCs w:val="0"/>
          <w:sz w:val="21"/>
          <w:szCs w:val="21"/>
        </w:rPr>
      </w:pPr>
      <w:r>
        <w:rPr>
          <w:rFonts w:hint="eastAsia" w:ascii="宋体" w:hAnsi="宋体" w:cs="宋体"/>
          <w:b w:val="0"/>
          <w:bCs w:val="0"/>
          <w:sz w:val="21"/>
          <w:szCs w:val="22"/>
        </w:rPr>
        <w:t xml:space="preserve">4 </w:t>
      </w:r>
      <w:r>
        <w:rPr>
          <w:rFonts w:hint="eastAsia" w:ascii="宋体" w:hAnsi="宋体" w:cs="宋体"/>
          <w:b w:val="0"/>
          <w:bCs w:val="0"/>
          <w:sz w:val="21"/>
          <w:szCs w:val="21"/>
        </w:rPr>
        <w:t>判定规则</w:t>
      </w:r>
      <w:r>
        <w:rPr>
          <w:rFonts w:hint="eastAsia" w:ascii="宋体" w:hAnsi="宋体" w:cs="宋体"/>
          <w:b w:val="0"/>
          <w:bCs w:val="0"/>
          <w:sz w:val="21"/>
          <w:szCs w:val="21"/>
        </w:rPr>
        <w:tab/>
      </w:r>
      <w:r>
        <w:rPr>
          <w:rFonts w:hint="eastAsia" w:ascii="宋体" w:hAnsi="宋体" w:cs="宋体"/>
          <w:b w:val="0"/>
          <w:bCs w:val="0"/>
          <w:sz w:val="21"/>
          <w:szCs w:val="21"/>
        </w:rPr>
        <w:fldChar w:fldCharType="begin"/>
      </w:r>
      <w:r>
        <w:rPr>
          <w:rFonts w:hint="eastAsia" w:ascii="宋体" w:hAnsi="宋体" w:cs="宋体"/>
          <w:b w:val="0"/>
          <w:bCs w:val="0"/>
          <w:sz w:val="21"/>
          <w:szCs w:val="21"/>
        </w:rPr>
        <w:instrText xml:space="preserve"> PAGEREF _Toc10414 \h </w:instrText>
      </w:r>
      <w:r>
        <w:rPr>
          <w:rFonts w:hint="eastAsia" w:ascii="宋体" w:hAnsi="宋体" w:cs="宋体"/>
          <w:b w:val="0"/>
          <w:bCs w:val="0"/>
          <w:sz w:val="21"/>
          <w:szCs w:val="21"/>
        </w:rPr>
        <w:fldChar w:fldCharType="separate"/>
      </w:r>
      <w:r>
        <w:rPr>
          <w:rFonts w:hint="eastAsia" w:ascii="宋体" w:hAnsi="宋体" w:cs="宋体"/>
          <w:b w:val="0"/>
          <w:bCs w:val="0"/>
          <w:sz w:val="21"/>
          <w:szCs w:val="21"/>
        </w:rPr>
        <w:t>1</w:t>
      </w:r>
      <w:r>
        <w:rPr>
          <w:rFonts w:hint="eastAsia" w:ascii="宋体" w:hAnsi="宋体" w:cs="宋体"/>
          <w:b w:val="0"/>
          <w:bCs w:val="0"/>
          <w:sz w:val="21"/>
          <w:szCs w:val="21"/>
        </w:rPr>
        <w:fldChar w:fldCharType="end"/>
      </w:r>
    </w:p>
    <w:p w14:paraId="0144F449">
      <w:pPr>
        <w:pStyle w:val="3"/>
        <w:tabs>
          <w:tab w:val="right" w:leader="dot" w:pos="9354"/>
        </w:tabs>
        <w:rPr>
          <w:rFonts w:hint="eastAsia" w:ascii="宋体" w:hAnsi="宋体" w:cs="宋体"/>
          <w:b w:val="0"/>
          <w:bCs w:val="0"/>
          <w:sz w:val="21"/>
          <w:szCs w:val="21"/>
        </w:rPr>
      </w:pPr>
      <w:r>
        <w:rPr>
          <w:rFonts w:hint="eastAsia" w:ascii="宋体" w:hAnsi="宋体" w:cs="宋体"/>
          <w:b w:val="0"/>
          <w:bCs w:val="0"/>
          <w:sz w:val="21"/>
          <w:szCs w:val="22"/>
        </w:rPr>
        <w:t xml:space="preserve">5 </w:t>
      </w:r>
      <w:r>
        <w:rPr>
          <w:rFonts w:hint="eastAsia" w:ascii="宋体" w:hAnsi="宋体" w:cs="宋体"/>
          <w:b w:val="0"/>
          <w:bCs w:val="0"/>
          <w:sz w:val="21"/>
          <w:szCs w:val="21"/>
        </w:rPr>
        <w:t>直接判定要素</w:t>
      </w:r>
      <w:r>
        <w:rPr>
          <w:rFonts w:hint="eastAsia" w:ascii="宋体" w:hAnsi="宋体" w:cs="宋体"/>
          <w:b w:val="0"/>
          <w:bCs w:val="0"/>
          <w:sz w:val="21"/>
          <w:szCs w:val="21"/>
        </w:rPr>
        <w:tab/>
      </w:r>
      <w:r>
        <w:rPr>
          <w:rFonts w:hint="eastAsia" w:ascii="宋体" w:hAnsi="宋体" w:cs="宋体"/>
          <w:b w:val="0"/>
          <w:bCs w:val="0"/>
          <w:sz w:val="21"/>
          <w:szCs w:val="21"/>
        </w:rPr>
        <w:fldChar w:fldCharType="begin"/>
      </w:r>
      <w:r>
        <w:rPr>
          <w:rFonts w:hint="eastAsia" w:ascii="宋体" w:hAnsi="宋体" w:cs="宋体"/>
          <w:b w:val="0"/>
          <w:bCs w:val="0"/>
          <w:sz w:val="21"/>
          <w:szCs w:val="21"/>
        </w:rPr>
        <w:instrText xml:space="preserve"> PAGEREF _Toc18662 \h </w:instrText>
      </w:r>
      <w:r>
        <w:rPr>
          <w:rFonts w:hint="eastAsia" w:ascii="宋体" w:hAnsi="宋体" w:cs="宋体"/>
          <w:b w:val="0"/>
          <w:bCs w:val="0"/>
          <w:sz w:val="21"/>
          <w:szCs w:val="21"/>
        </w:rPr>
        <w:fldChar w:fldCharType="separate"/>
      </w:r>
      <w:r>
        <w:rPr>
          <w:rFonts w:hint="eastAsia" w:ascii="宋体" w:hAnsi="宋体" w:cs="宋体"/>
          <w:b w:val="0"/>
          <w:bCs w:val="0"/>
          <w:sz w:val="21"/>
          <w:szCs w:val="21"/>
        </w:rPr>
        <w:t>1</w:t>
      </w:r>
      <w:r>
        <w:rPr>
          <w:rFonts w:hint="eastAsia" w:ascii="宋体" w:hAnsi="宋体" w:cs="宋体"/>
          <w:b w:val="0"/>
          <w:bCs w:val="0"/>
          <w:sz w:val="21"/>
          <w:szCs w:val="21"/>
        </w:rPr>
        <w:fldChar w:fldCharType="end"/>
      </w:r>
    </w:p>
    <w:p w14:paraId="55CFB56B">
      <w:pPr>
        <w:pStyle w:val="3"/>
        <w:tabs>
          <w:tab w:val="right" w:leader="dot" w:pos="9354"/>
        </w:tabs>
        <w:rPr>
          <w:rFonts w:hint="eastAsia" w:ascii="宋体" w:hAnsi="宋体" w:cs="宋体"/>
          <w:b w:val="0"/>
          <w:bCs w:val="0"/>
          <w:sz w:val="21"/>
          <w:szCs w:val="21"/>
        </w:rPr>
      </w:pPr>
      <w:r>
        <w:rPr>
          <w:rFonts w:hint="eastAsia" w:ascii="宋体" w:hAnsi="宋体" w:cs="宋体"/>
          <w:b w:val="0"/>
          <w:bCs w:val="0"/>
          <w:sz w:val="21"/>
          <w:szCs w:val="22"/>
        </w:rPr>
        <w:t xml:space="preserve">6 </w:t>
      </w:r>
      <w:r>
        <w:rPr>
          <w:rFonts w:hint="eastAsia" w:ascii="宋体" w:hAnsi="宋体" w:cs="宋体"/>
          <w:b w:val="0"/>
          <w:bCs w:val="0"/>
          <w:sz w:val="21"/>
          <w:szCs w:val="21"/>
        </w:rPr>
        <w:t>综合判定要素</w:t>
      </w:r>
      <w:r>
        <w:rPr>
          <w:rFonts w:hint="eastAsia" w:ascii="宋体" w:hAnsi="宋体" w:cs="宋体"/>
          <w:b w:val="0"/>
          <w:bCs w:val="0"/>
          <w:sz w:val="21"/>
          <w:szCs w:val="21"/>
        </w:rPr>
        <w:tab/>
      </w:r>
      <w:r>
        <w:rPr>
          <w:rFonts w:hint="eastAsia" w:ascii="宋体" w:hAnsi="宋体" w:cs="宋体"/>
          <w:b w:val="0"/>
          <w:bCs w:val="0"/>
          <w:sz w:val="21"/>
          <w:szCs w:val="21"/>
        </w:rPr>
        <w:fldChar w:fldCharType="begin"/>
      </w:r>
      <w:r>
        <w:rPr>
          <w:rFonts w:hint="eastAsia" w:ascii="宋体" w:hAnsi="宋体" w:cs="宋体"/>
          <w:b w:val="0"/>
          <w:bCs w:val="0"/>
          <w:sz w:val="21"/>
          <w:szCs w:val="21"/>
        </w:rPr>
        <w:instrText xml:space="preserve"> PAGEREF _Toc9099 \h </w:instrText>
      </w:r>
      <w:r>
        <w:rPr>
          <w:rFonts w:hint="eastAsia" w:ascii="宋体" w:hAnsi="宋体" w:cs="宋体"/>
          <w:b w:val="0"/>
          <w:bCs w:val="0"/>
          <w:sz w:val="21"/>
          <w:szCs w:val="21"/>
        </w:rPr>
        <w:fldChar w:fldCharType="separate"/>
      </w:r>
      <w:r>
        <w:rPr>
          <w:rFonts w:hint="eastAsia" w:ascii="宋体" w:hAnsi="宋体" w:cs="宋体"/>
          <w:b w:val="0"/>
          <w:bCs w:val="0"/>
          <w:sz w:val="21"/>
          <w:szCs w:val="21"/>
        </w:rPr>
        <w:t>3</w:t>
      </w:r>
      <w:r>
        <w:rPr>
          <w:rFonts w:hint="eastAsia" w:ascii="宋体" w:hAnsi="宋体" w:cs="宋体"/>
          <w:b w:val="0"/>
          <w:bCs w:val="0"/>
          <w:sz w:val="21"/>
          <w:szCs w:val="21"/>
        </w:rPr>
        <w:fldChar w:fldCharType="end"/>
      </w:r>
    </w:p>
    <w:p w14:paraId="47B3BF19">
      <w:pPr>
        <w:pStyle w:val="3"/>
        <w:tabs>
          <w:tab w:val="right" w:leader="dot" w:pos="9344"/>
        </w:tabs>
        <w:spacing w:line="500" w:lineRule="exact"/>
      </w:pPr>
      <w:r>
        <w:rPr>
          <w:rFonts w:ascii="宋体" w:hAnsi="宋体"/>
          <w:b w:val="0"/>
          <w:sz w:val="21"/>
          <w:szCs w:val="21"/>
          <w:highlight w:val="yellow"/>
        </w:rPr>
        <w:fldChar w:fldCharType="end"/>
      </w:r>
    </w:p>
    <w:p w14:paraId="528907C3">
      <w:pPr>
        <w:pStyle w:val="21"/>
        <w:spacing w:line="440" w:lineRule="exact"/>
        <w:ind w:firstLine="640"/>
      </w:pPr>
      <w:bookmarkStart w:id="35" w:name="_Toc145066637"/>
      <w:bookmarkStart w:id="36" w:name="_Toc86742511"/>
      <w:bookmarkStart w:id="37" w:name="_Toc533844619"/>
      <w:bookmarkStart w:id="38" w:name="_Toc364173333"/>
      <w:bookmarkStart w:id="39" w:name="_Toc86739155"/>
      <w:bookmarkStart w:id="40" w:name="_Toc25377"/>
      <w:r>
        <w:rPr>
          <w:rFonts w:hint="eastAsia"/>
        </w:rPr>
        <w:t>前</w:t>
      </w:r>
      <w:bookmarkStart w:id="41" w:name="BKQY"/>
      <w:r>
        <w:rPr>
          <w:rFonts w:hint="eastAsia"/>
        </w:rPr>
        <w:t>  言</w:t>
      </w:r>
      <w:bookmarkEnd w:id="35"/>
      <w:bookmarkEnd w:id="36"/>
      <w:bookmarkEnd w:id="37"/>
      <w:bookmarkEnd w:id="38"/>
      <w:bookmarkEnd w:id="39"/>
      <w:bookmarkEnd w:id="40"/>
      <w:bookmarkEnd w:id="41"/>
    </w:p>
    <w:p w14:paraId="769C9ED3">
      <w:pPr>
        <w:spacing w:line="400" w:lineRule="exact"/>
        <w:ind w:firstLine="420" w:firstLineChars="200"/>
        <w:rPr>
          <w:rFonts w:hint="eastAsia" w:ascii="黑体" w:hAnsi="黑体" w:eastAsia="黑体" w:cs="黑体"/>
        </w:rPr>
      </w:pPr>
      <w:r>
        <w:rPr>
          <w:rFonts w:hint="eastAsia" w:ascii="黑体" w:hAnsi="黑体" w:eastAsia="黑体" w:cs="黑体"/>
        </w:rPr>
        <w:t>本文件的全部技术内容为强制性。</w:t>
      </w:r>
    </w:p>
    <w:p w14:paraId="3556821B">
      <w:pPr>
        <w:spacing w:line="400" w:lineRule="exact"/>
        <w:ind w:firstLine="420" w:firstLineChars="200"/>
        <w:rPr>
          <w:szCs w:val="21"/>
        </w:rPr>
      </w:pPr>
      <w:r>
        <w:rPr>
          <w:rFonts w:hint="eastAsia"/>
        </w:rPr>
        <w:t>本文件按照GB/T 1.1—2020《标准化工作导则 第1部分：标准化文件的结构和起草规则》的规定起草。</w:t>
      </w:r>
    </w:p>
    <w:p w14:paraId="1E0C8666">
      <w:pPr>
        <w:pStyle w:val="20"/>
      </w:pPr>
      <w:r>
        <w:rPr>
          <w:rFonts w:hint="eastAsia"/>
        </w:rPr>
        <w:t>请注意本文件的某些内容可能涉及专利。本文件的发布机构不承担识别专利的责任。</w:t>
      </w:r>
    </w:p>
    <w:p w14:paraId="37D7E727">
      <w:pPr>
        <w:pStyle w:val="20"/>
      </w:pPr>
      <w:r>
        <w:rPr>
          <w:rFonts w:hint="eastAsia"/>
        </w:rPr>
        <w:t>本文件由中华人民共和国应急管理部提出，危险化学品安全监督管理二司业务管理、政策法规司统筹管理。</w:t>
      </w:r>
    </w:p>
    <w:p w14:paraId="171946F4">
      <w:pPr>
        <w:pStyle w:val="20"/>
      </w:pPr>
      <w:r>
        <w:rPr>
          <w:rFonts w:hint="eastAsia"/>
        </w:rPr>
        <w:t>本文件由全国安全生产标准化技术委员会烟花爆竹安全分技术委员会（SAC/TC 288/SC 4）技术归口。</w:t>
      </w:r>
    </w:p>
    <w:p w14:paraId="70B89666">
      <w:pPr>
        <w:pStyle w:val="20"/>
      </w:pPr>
    </w:p>
    <w:p w14:paraId="0A05CF72">
      <w:pPr>
        <w:pStyle w:val="20"/>
        <w:sectPr>
          <w:headerReference r:id="rId7" w:type="default"/>
          <w:footerReference r:id="rId8" w:type="default"/>
          <w:type w:val="continuous"/>
          <w:pgSz w:w="11906" w:h="16838"/>
          <w:pgMar w:top="1418" w:right="1134" w:bottom="1134" w:left="1418" w:header="1418" w:footer="1134" w:gutter="0"/>
          <w:pgNumType w:fmt="upperRoman" w:start="1"/>
          <w:cols w:space="720" w:num="1"/>
          <w:formProt w:val="0"/>
          <w:docGrid w:type="linesAndChars" w:linePitch="312" w:charSpace="0"/>
        </w:sectPr>
      </w:pPr>
    </w:p>
    <w:p w14:paraId="182C1CAD">
      <w:pPr>
        <w:pStyle w:val="20"/>
        <w:spacing w:line="440" w:lineRule="exact"/>
        <w:sectPr>
          <w:type w:val="continuous"/>
          <w:pgSz w:w="11906" w:h="16838"/>
          <w:pgMar w:top="567" w:right="1134" w:bottom="1134" w:left="1418" w:header="1418" w:footer="1134" w:gutter="0"/>
          <w:cols w:space="720" w:num="1"/>
          <w:formProt w:val="0"/>
          <w:docGrid w:type="linesAndChars" w:linePitch="312" w:charSpace="0"/>
        </w:sectPr>
      </w:pPr>
    </w:p>
    <w:p w14:paraId="2D789B93">
      <w:pPr>
        <w:pStyle w:val="21"/>
        <w:spacing w:line="440" w:lineRule="exact"/>
        <w:ind w:firstLine="0"/>
        <w:outlineLvl w:val="9"/>
      </w:pPr>
      <w:bookmarkStart w:id="42" w:name="_Toc86739156"/>
      <w:bookmarkStart w:id="43" w:name="_Toc145066638"/>
      <w:bookmarkStart w:id="44" w:name="_Toc9201"/>
      <w:bookmarkStart w:id="45" w:name="_Toc6122"/>
      <w:bookmarkStart w:id="46" w:name="_Toc86742512"/>
      <w:bookmarkStart w:id="47" w:name="_Toc86738949"/>
      <w:bookmarkStart w:id="48" w:name="_Toc115765334"/>
      <w:bookmarkStart w:id="49" w:name="_Toc86740072"/>
      <w:r>
        <w:rPr>
          <w:rFonts w:hint="eastAsia"/>
          <w:szCs w:val="52"/>
        </w:rPr>
        <w:t>烟花爆竹重大生产安全事故隐患判定</w:t>
      </w:r>
      <w:bookmarkEnd w:id="42"/>
      <w:bookmarkEnd w:id="43"/>
      <w:bookmarkEnd w:id="44"/>
      <w:bookmarkEnd w:id="45"/>
      <w:bookmarkEnd w:id="46"/>
      <w:bookmarkEnd w:id="47"/>
      <w:bookmarkEnd w:id="48"/>
      <w:bookmarkEnd w:id="49"/>
      <w:r>
        <w:rPr>
          <w:rFonts w:hint="eastAsia"/>
          <w:szCs w:val="52"/>
        </w:rPr>
        <w:t>准则</w:t>
      </w:r>
    </w:p>
    <w:p w14:paraId="6E7B336C">
      <w:pPr>
        <w:pStyle w:val="22"/>
        <w:numPr>
          <w:ilvl w:val="0"/>
          <w:numId w:val="3"/>
        </w:numPr>
        <w:spacing w:line="440" w:lineRule="exact"/>
        <w:ind w:left="424" w:hanging="424" w:hangingChars="202"/>
        <w:outlineLvl w:val="0"/>
      </w:pPr>
      <w:bookmarkStart w:id="50" w:name="_Toc364173334"/>
      <w:bookmarkStart w:id="51" w:name="_Toc364167649"/>
      <w:bookmarkStart w:id="52" w:name="_Toc26079"/>
      <w:bookmarkStart w:id="53" w:name="_Toc364171095"/>
      <w:bookmarkStart w:id="54" w:name="_Toc86739157"/>
      <w:bookmarkStart w:id="55" w:name="_Toc86742513"/>
      <w:bookmarkStart w:id="56" w:name="_Toc145066639"/>
      <w:bookmarkStart w:id="57" w:name="_Toc364087345"/>
      <w:r>
        <w:rPr>
          <w:rFonts w:hint="eastAsia"/>
        </w:rPr>
        <w:t>范围</w:t>
      </w:r>
      <w:bookmarkEnd w:id="50"/>
      <w:bookmarkEnd w:id="51"/>
      <w:bookmarkEnd w:id="52"/>
      <w:bookmarkEnd w:id="53"/>
      <w:bookmarkEnd w:id="54"/>
      <w:bookmarkEnd w:id="55"/>
      <w:bookmarkEnd w:id="56"/>
      <w:bookmarkEnd w:id="57"/>
    </w:p>
    <w:p w14:paraId="49442B87">
      <w:pPr>
        <w:adjustRightInd w:val="0"/>
        <w:snapToGrid w:val="0"/>
        <w:spacing w:after="0" w:line="440" w:lineRule="exact"/>
        <w:ind w:firstLine="420" w:firstLineChars="200"/>
        <w:rPr>
          <w:rFonts w:hint="eastAsia" w:ascii="宋体" w:hAnsi="宋体"/>
          <w:szCs w:val="21"/>
        </w:rPr>
      </w:pPr>
      <w:r>
        <w:rPr>
          <w:rFonts w:ascii="宋体" w:hAnsi="宋体"/>
          <w:szCs w:val="21"/>
        </w:rPr>
        <w:t>本</w:t>
      </w:r>
      <w:r>
        <w:rPr>
          <w:rFonts w:hint="eastAsia" w:ascii="宋体" w:hAnsi="宋体"/>
          <w:szCs w:val="21"/>
        </w:rPr>
        <w:t>文件规定了烟花爆竹重大生产安全事故隐患的判定规则、直接判定要素、综合判定要素。</w:t>
      </w:r>
    </w:p>
    <w:p w14:paraId="6F3205A0">
      <w:pPr>
        <w:pStyle w:val="20"/>
        <w:spacing w:after="0" w:line="440" w:lineRule="exact"/>
      </w:pPr>
      <w:r>
        <w:rPr>
          <w:rFonts w:hAnsi="宋体"/>
          <w:szCs w:val="21"/>
        </w:rPr>
        <w:t>本</w:t>
      </w:r>
      <w:r>
        <w:rPr>
          <w:rFonts w:hint="eastAsia" w:hAnsi="宋体"/>
          <w:szCs w:val="21"/>
        </w:rPr>
        <w:t>文件</w:t>
      </w:r>
      <w:r>
        <w:rPr>
          <w:rFonts w:hAnsi="宋体"/>
          <w:szCs w:val="21"/>
        </w:rPr>
        <w:t>适用</w:t>
      </w:r>
      <w:r>
        <w:rPr>
          <w:rFonts w:hint="eastAsia" w:hAnsi="宋体"/>
          <w:szCs w:val="21"/>
        </w:rPr>
        <w:t>于烟花爆竹生产企业、批发企业和零售单位。</w:t>
      </w:r>
    </w:p>
    <w:p w14:paraId="5A5BB906">
      <w:pPr>
        <w:pStyle w:val="22"/>
        <w:numPr>
          <w:ilvl w:val="0"/>
          <w:numId w:val="3"/>
        </w:numPr>
        <w:spacing w:line="440" w:lineRule="exact"/>
        <w:ind w:left="420" w:hanging="420" w:hangingChars="200"/>
        <w:outlineLvl w:val="0"/>
      </w:pPr>
      <w:bookmarkStart w:id="58" w:name="_Toc145066640"/>
      <w:bookmarkStart w:id="59" w:name="_Toc86739158"/>
      <w:bookmarkStart w:id="60" w:name="_Toc18270"/>
      <w:bookmarkStart w:id="61" w:name="_Toc364087346"/>
      <w:bookmarkStart w:id="62" w:name="_Toc364173335"/>
      <w:bookmarkStart w:id="63" w:name="_Toc86742514"/>
      <w:bookmarkStart w:id="64" w:name="_Toc364167650"/>
      <w:bookmarkStart w:id="65" w:name="_Toc364171096"/>
      <w:r>
        <w:rPr>
          <w:rFonts w:hint="eastAsia"/>
        </w:rPr>
        <w:t>规范性引用文件</w:t>
      </w:r>
      <w:bookmarkEnd w:id="58"/>
      <w:bookmarkEnd w:id="59"/>
      <w:bookmarkEnd w:id="60"/>
      <w:bookmarkEnd w:id="61"/>
      <w:bookmarkEnd w:id="62"/>
      <w:bookmarkEnd w:id="63"/>
      <w:bookmarkEnd w:id="64"/>
      <w:bookmarkEnd w:id="65"/>
    </w:p>
    <w:p w14:paraId="508CDF8B">
      <w:pPr>
        <w:pStyle w:val="20"/>
        <w:spacing w:after="0" w:line="440" w:lineRule="exact"/>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7F919C20">
      <w:pPr>
        <w:pStyle w:val="20"/>
        <w:spacing w:after="0" w:line="440" w:lineRule="exact"/>
        <w:rPr>
          <w:rFonts w:hint="default" w:eastAsia="宋体"/>
          <w:lang w:val="en-US" w:eastAsia="zh-CN"/>
        </w:rPr>
      </w:pPr>
      <w:r>
        <w:rPr>
          <w:rFonts w:hint="eastAsia"/>
        </w:rPr>
        <w:t>GB 10631</w:t>
      </w:r>
      <w:r>
        <w:rPr>
          <w:rFonts w:hint="eastAsia"/>
          <w:lang w:val="en-US" w:eastAsia="zh-CN"/>
        </w:rPr>
        <w:t xml:space="preserve">  </w:t>
      </w:r>
      <w:r>
        <w:rPr>
          <w:rFonts w:hint="eastAsia"/>
        </w:rPr>
        <w:t>烟花爆竹 安全与质量</w:t>
      </w:r>
    </w:p>
    <w:p w14:paraId="71952358">
      <w:pPr>
        <w:pStyle w:val="20"/>
        <w:spacing w:after="0" w:line="440" w:lineRule="exact"/>
        <w:rPr>
          <w:rFonts w:hint="default" w:eastAsia="宋体"/>
          <w:lang w:val="en-US" w:eastAsia="zh-CN"/>
        </w:rPr>
      </w:pPr>
      <w:r>
        <w:rPr>
          <w:rFonts w:hint="eastAsia"/>
        </w:rPr>
        <w:t>GB 11652</w:t>
      </w:r>
      <w:r>
        <w:rPr>
          <w:rFonts w:hint="eastAsia"/>
          <w:lang w:val="en-US" w:eastAsia="zh-CN"/>
        </w:rPr>
        <w:t xml:space="preserve">  </w:t>
      </w:r>
      <w:r>
        <w:rPr>
          <w:rFonts w:hint="eastAsia"/>
        </w:rPr>
        <w:t>烟花爆竹作业安全技术规程</w:t>
      </w:r>
    </w:p>
    <w:p w14:paraId="6D36724D">
      <w:pPr>
        <w:pStyle w:val="20"/>
        <w:spacing w:after="0" w:line="440" w:lineRule="exact"/>
      </w:pPr>
      <w:r>
        <w:rPr>
          <w:rFonts w:hint="eastAsia"/>
        </w:rPr>
        <w:t>GB 46521</w:t>
      </w:r>
      <w:r>
        <w:rPr>
          <w:rFonts w:hint="eastAsia"/>
          <w:lang w:val="en-US" w:eastAsia="zh-CN"/>
        </w:rPr>
        <w:t xml:space="preserve">  </w:t>
      </w:r>
      <w:r>
        <w:rPr>
          <w:rFonts w:hint="eastAsia"/>
        </w:rPr>
        <w:t>烟花爆竹生产机械设备安全技术规范</w:t>
      </w:r>
    </w:p>
    <w:p w14:paraId="56447A3F">
      <w:pPr>
        <w:pStyle w:val="20"/>
        <w:spacing w:after="0" w:line="440" w:lineRule="exact"/>
        <w:rPr>
          <w:rFonts w:hint="eastAsia"/>
          <w:color w:val="000000"/>
        </w:rPr>
      </w:pPr>
      <w:r>
        <w:rPr>
          <w:rFonts w:hint="eastAsia"/>
          <w:color w:val="000000"/>
        </w:rPr>
        <w:t>GB 50161  烟花爆竹工程设计安全标准</w:t>
      </w:r>
    </w:p>
    <w:p w14:paraId="05E6F3A7">
      <w:pPr>
        <w:pStyle w:val="20"/>
        <w:spacing w:after="0" w:line="440" w:lineRule="exact"/>
        <w:rPr>
          <w:rFonts w:hint="default" w:eastAsia="宋体"/>
          <w:color w:val="000000"/>
          <w:lang w:val="en-US" w:eastAsia="zh-CN"/>
        </w:rPr>
      </w:pPr>
      <w:r>
        <w:rPr>
          <w:rFonts w:hint="eastAsia"/>
          <w:color w:val="000000"/>
          <w:lang w:val="en-US" w:eastAsia="zh-CN"/>
        </w:rPr>
        <w:t>AQ 4115  烟花爆竹防止静电危害技术规范</w:t>
      </w:r>
    </w:p>
    <w:p w14:paraId="1247A429">
      <w:pPr>
        <w:pStyle w:val="22"/>
        <w:numPr>
          <w:ilvl w:val="0"/>
          <w:numId w:val="3"/>
        </w:numPr>
        <w:tabs>
          <w:tab w:val="left" w:pos="425"/>
        </w:tabs>
        <w:spacing w:line="440" w:lineRule="exact"/>
        <w:ind w:left="420" w:hanging="420" w:hangingChars="200"/>
        <w:outlineLvl w:val="0"/>
      </w:pPr>
      <w:bookmarkStart w:id="66" w:name="_Toc364087347"/>
      <w:bookmarkEnd w:id="66"/>
      <w:bookmarkStart w:id="67" w:name="_Toc86742515"/>
      <w:bookmarkStart w:id="68" w:name="_Toc533844471"/>
      <w:bookmarkStart w:id="69" w:name="_Toc12519"/>
      <w:bookmarkStart w:id="70" w:name="_Toc86739159"/>
      <w:bookmarkStart w:id="71" w:name="_Toc145066641"/>
      <w:bookmarkStart w:id="72" w:name="_Toc445277305"/>
      <w:bookmarkStart w:id="73" w:name="_Hlk486928590"/>
      <w:r>
        <w:rPr>
          <w:rFonts w:hint="eastAsia"/>
        </w:rPr>
        <w:t>术语和定义</w:t>
      </w:r>
      <w:bookmarkEnd w:id="67"/>
      <w:bookmarkEnd w:id="68"/>
      <w:bookmarkEnd w:id="69"/>
      <w:bookmarkEnd w:id="70"/>
      <w:bookmarkEnd w:id="71"/>
    </w:p>
    <w:p w14:paraId="5DCCD1D8">
      <w:pPr>
        <w:pStyle w:val="20"/>
        <w:spacing w:before="0" w:beforeLines="0" w:after="0" w:afterLines="0" w:line="440" w:lineRule="exact"/>
        <w:outlineLvl w:val="2"/>
        <w:rPr>
          <w:szCs w:val="22"/>
        </w:rPr>
      </w:pPr>
      <w:bookmarkStart w:id="74" w:name="OLE_LINK1"/>
      <w:r>
        <w:rPr>
          <w:rFonts w:hint="eastAsia"/>
        </w:rPr>
        <w:t>GB 10631、GB 11652、GB 46521、GB 50161</w:t>
      </w:r>
      <w:bookmarkEnd w:id="74"/>
      <w:r>
        <w:rPr>
          <w:rFonts w:hint="eastAsia"/>
        </w:rPr>
        <w:t>、AQ 4115界定的术语和定义适用于本文件。</w:t>
      </w:r>
    </w:p>
    <w:p w14:paraId="73234367">
      <w:pPr>
        <w:pStyle w:val="22"/>
        <w:numPr>
          <w:ilvl w:val="0"/>
          <w:numId w:val="3"/>
        </w:numPr>
        <w:tabs>
          <w:tab w:val="left" w:pos="425"/>
        </w:tabs>
        <w:spacing w:line="440" w:lineRule="exact"/>
        <w:ind w:left="0" w:firstLine="0"/>
        <w:outlineLvl w:val="0"/>
      </w:pPr>
      <w:bookmarkStart w:id="75" w:name="_Toc10414"/>
      <w:r>
        <w:rPr>
          <w:rFonts w:hint="eastAsia"/>
        </w:rPr>
        <w:t>判定规则</w:t>
      </w:r>
      <w:bookmarkEnd w:id="75"/>
    </w:p>
    <w:p w14:paraId="50B03011">
      <w:pPr>
        <w:pStyle w:val="22"/>
        <w:numPr>
          <w:ilvl w:val="1"/>
          <w:numId w:val="4"/>
        </w:numPr>
        <w:tabs>
          <w:tab w:val="left" w:pos="630"/>
        </w:tabs>
        <w:spacing w:before="0" w:beforeLines="0" w:after="0" w:afterLines="0" w:line="440" w:lineRule="exact"/>
        <w:ind w:left="0" w:firstLine="0"/>
        <w:outlineLvl w:val="2"/>
        <w:rPr>
          <w:rFonts w:ascii="宋体" w:hAnsi="宋体" w:eastAsia="宋体"/>
          <w:color w:val="000000"/>
        </w:rPr>
      </w:pPr>
      <w:r>
        <w:rPr>
          <w:rFonts w:hint="eastAsia" w:ascii="宋体" w:hAnsi="宋体" w:eastAsia="宋体"/>
          <w:color w:val="000000"/>
        </w:rPr>
        <w:t>直接判定</w:t>
      </w:r>
    </w:p>
    <w:p w14:paraId="62E408EA">
      <w:pPr>
        <w:pStyle w:val="20"/>
        <w:spacing w:before="0" w:beforeLines="0" w:after="0" w:afterLines="0" w:line="440" w:lineRule="exact"/>
        <w:outlineLvl w:val="2"/>
        <w:rPr>
          <w:rFonts w:hint="eastAsia" w:hAnsi="宋体"/>
          <w:color w:val="000000"/>
        </w:rPr>
      </w:pPr>
      <w:r>
        <w:rPr>
          <w:rFonts w:hint="eastAsia" w:ascii="宋体" w:hAnsi="宋体" w:eastAsia="宋体"/>
          <w:color w:val="000000"/>
        </w:rPr>
        <w:t>按照</w:t>
      </w:r>
      <w:r>
        <w:rPr>
          <w:rFonts w:hint="eastAsia" w:hAnsi="宋体"/>
          <w:color w:val="000000"/>
        </w:rPr>
        <w:t>第5章规定的直接判定要素进行判定，符合其中任意一项判定要素的，应判定为重大生产安全事故隐患。</w:t>
      </w:r>
    </w:p>
    <w:p w14:paraId="76AF23B8">
      <w:pPr>
        <w:pStyle w:val="22"/>
        <w:numPr>
          <w:ilvl w:val="1"/>
          <w:numId w:val="4"/>
        </w:numPr>
        <w:tabs>
          <w:tab w:val="left" w:pos="630"/>
        </w:tabs>
        <w:spacing w:before="0" w:beforeLines="0" w:after="0" w:afterLines="0" w:line="440" w:lineRule="exact"/>
        <w:ind w:left="0" w:firstLine="0"/>
        <w:outlineLvl w:val="2"/>
        <w:rPr>
          <w:rFonts w:ascii="宋体" w:hAnsi="宋体" w:eastAsia="宋体"/>
          <w:color w:val="000000"/>
        </w:rPr>
      </w:pPr>
      <w:r>
        <w:rPr>
          <w:rFonts w:hint="eastAsia" w:ascii="宋体" w:hAnsi="宋体" w:eastAsia="宋体"/>
          <w:color w:val="000000"/>
        </w:rPr>
        <w:t>综合判定</w:t>
      </w:r>
    </w:p>
    <w:p w14:paraId="35937341">
      <w:pPr>
        <w:pStyle w:val="20"/>
        <w:spacing w:before="0" w:beforeLines="0" w:after="0" w:afterLines="0" w:line="440" w:lineRule="exact"/>
        <w:outlineLvl w:val="2"/>
        <w:rPr>
          <w:rFonts w:hint="eastAsia" w:hAnsi="宋体"/>
          <w:color w:val="000000"/>
        </w:rPr>
      </w:pPr>
      <w:r>
        <w:rPr>
          <w:rFonts w:hint="eastAsia" w:hAnsi="宋体"/>
          <w:color w:val="000000"/>
        </w:rPr>
        <w:t>按照第6章规定的综合判定要素进行判定，同时符合其中3项及以上判定要素的，应判定为重大生产安全事故隐患。</w:t>
      </w:r>
    </w:p>
    <w:bookmarkEnd w:id="72"/>
    <w:bookmarkEnd w:id="73"/>
    <w:p w14:paraId="563D7120">
      <w:pPr>
        <w:pStyle w:val="22"/>
        <w:numPr>
          <w:ilvl w:val="0"/>
          <w:numId w:val="3"/>
        </w:numPr>
        <w:tabs>
          <w:tab w:val="left" w:pos="425"/>
        </w:tabs>
        <w:spacing w:line="440" w:lineRule="exact"/>
        <w:ind w:left="0" w:firstLine="0"/>
        <w:outlineLvl w:val="0"/>
      </w:pPr>
      <w:bookmarkStart w:id="76" w:name="_Toc37179479"/>
      <w:bookmarkStart w:id="77" w:name="_Toc86739162"/>
      <w:bookmarkStart w:id="78" w:name="_Toc18662"/>
      <w:bookmarkStart w:id="79" w:name="_Toc145066644"/>
      <w:bookmarkStart w:id="80" w:name="_Toc86742518"/>
      <w:r>
        <w:rPr>
          <w:rFonts w:hint="eastAsia"/>
        </w:rPr>
        <w:t>直接判定要素</w:t>
      </w:r>
      <w:bookmarkEnd w:id="76"/>
      <w:bookmarkEnd w:id="77"/>
      <w:bookmarkEnd w:id="78"/>
      <w:bookmarkEnd w:id="79"/>
      <w:bookmarkEnd w:id="80"/>
    </w:p>
    <w:p w14:paraId="5C957F03">
      <w:pPr>
        <w:pStyle w:val="22"/>
        <w:numPr>
          <w:ilvl w:val="1"/>
          <w:numId w:val="5"/>
        </w:numPr>
        <w:tabs>
          <w:tab w:val="left" w:pos="630"/>
        </w:tabs>
        <w:spacing w:before="0" w:beforeLines="0" w:after="0" w:afterLines="0" w:line="440" w:lineRule="exact"/>
        <w:ind w:left="0" w:firstLine="0"/>
        <w:outlineLvl w:val="2"/>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主要负责人、专职安全生产管理人员未依法经考核合格</w:t>
      </w:r>
      <w:r>
        <w:rPr>
          <w:rFonts w:hint="eastAsia" w:ascii="宋体" w:hAnsi="宋体" w:eastAsia="宋体" w:cs="宋体"/>
          <w:color w:val="000000" w:themeColor="text1"/>
          <w:szCs w:val="21"/>
          <w:lang w:eastAsia="zh-CN"/>
          <w14:textFill>
            <w14:solidFill>
              <w14:schemeClr w14:val="tx1"/>
            </w14:solidFill>
          </w14:textFill>
        </w:rPr>
        <w:t>。</w:t>
      </w:r>
    </w:p>
    <w:p w14:paraId="574D7475">
      <w:pPr>
        <w:pStyle w:val="22"/>
        <w:numPr>
          <w:ilvl w:val="1"/>
          <w:numId w:val="5"/>
        </w:numPr>
        <w:tabs>
          <w:tab w:val="left" w:pos="630"/>
        </w:tabs>
        <w:spacing w:before="0" w:beforeLines="0" w:after="0" w:afterLines="0" w:line="440" w:lineRule="exact"/>
        <w:ind w:left="0" w:firstLine="0"/>
        <w:outlineLvl w:val="2"/>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特种作业人员未取得相应资格上岗作业或持假证上岗作业</w:t>
      </w:r>
      <w:r>
        <w:rPr>
          <w:rFonts w:hint="eastAsia" w:ascii="宋体" w:hAnsi="宋体" w:eastAsia="宋体" w:cs="宋体"/>
          <w:color w:val="000000" w:themeColor="text1"/>
          <w:szCs w:val="21"/>
          <w:lang w:eastAsia="zh-CN"/>
          <w14:textFill>
            <w14:solidFill>
              <w14:schemeClr w14:val="tx1"/>
            </w14:solidFill>
          </w14:textFill>
        </w:rPr>
        <w:t>。</w:t>
      </w:r>
    </w:p>
    <w:p w14:paraId="5826315B">
      <w:pPr>
        <w:pStyle w:val="22"/>
        <w:numPr>
          <w:ilvl w:val="1"/>
          <w:numId w:val="5"/>
        </w:numPr>
        <w:tabs>
          <w:tab w:val="left" w:pos="630"/>
        </w:tabs>
        <w:spacing w:before="0" w:beforeLines="0" w:after="0" w:afterLines="0" w:line="440" w:lineRule="exact"/>
        <w:ind w:left="0" w:firstLine="0"/>
        <w:outlineLvl w:val="2"/>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出租、出借、转让、买卖、冒用或者伪造安全生产许可证或经营许可证</w:t>
      </w:r>
      <w:r>
        <w:rPr>
          <w:rFonts w:hint="eastAsia" w:ascii="宋体" w:hAnsi="宋体" w:eastAsia="宋体" w:cs="宋体"/>
          <w:color w:val="000000" w:themeColor="text1"/>
          <w:szCs w:val="21"/>
          <w:lang w:eastAsia="zh-CN"/>
          <w14:textFill>
            <w14:solidFill>
              <w14:schemeClr w14:val="tx1"/>
            </w14:solidFill>
          </w14:textFill>
        </w:rPr>
        <w:t>。</w:t>
      </w:r>
    </w:p>
    <w:p w14:paraId="688F69D5">
      <w:pPr>
        <w:pStyle w:val="22"/>
        <w:numPr>
          <w:ilvl w:val="1"/>
          <w:numId w:val="5"/>
        </w:numPr>
        <w:tabs>
          <w:tab w:val="left" w:pos="630"/>
        </w:tabs>
        <w:spacing w:before="0" w:beforeLines="0" w:after="0" w:afterLines="0" w:line="440" w:lineRule="exact"/>
        <w:ind w:left="0" w:firstLine="0"/>
        <w:outlineLvl w:val="2"/>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危险品生产区、总库区围墙缺失，或者围墙与危险性建筑距离小于5米。</w:t>
      </w:r>
    </w:p>
    <w:p w14:paraId="55CA0BBC">
      <w:pPr>
        <w:pStyle w:val="22"/>
        <w:numPr>
          <w:ilvl w:val="1"/>
          <w:numId w:val="5"/>
        </w:numPr>
        <w:tabs>
          <w:tab w:val="left" w:pos="630"/>
        </w:tabs>
        <w:spacing w:before="0" w:beforeLines="0" w:after="0" w:afterLines="0" w:line="440" w:lineRule="exact"/>
        <w:ind w:left="0" w:firstLine="0"/>
        <w:outlineLvl w:val="2"/>
        <w:rPr>
          <w:rFonts w:hint="eastAsia" w:ascii="宋体" w:hAnsi="宋体" w:eastAsia="宋体" w:cs="宋体"/>
          <w:color w:val="000000" w:themeColor="text1"/>
          <w:szCs w:val="21"/>
          <w14:textFill>
            <w14:solidFill>
              <w14:schemeClr w14:val="tx1"/>
            </w14:solidFill>
          </w14:textFill>
        </w:rPr>
      </w:pPr>
      <w:r>
        <w:rPr>
          <w:rFonts w:ascii="宋体" w:hAnsi="宋体" w:eastAsia="宋体" w:cs="宋体"/>
          <w:color w:val="000000" w:themeColor="text1"/>
          <w:szCs w:val="21"/>
          <w14:textFill>
            <w14:solidFill>
              <w14:schemeClr w14:val="tx1"/>
            </w14:solidFill>
          </w14:textFill>
        </w:rPr>
        <w:t>危险品生产区、总库区与</w:t>
      </w:r>
      <w:r>
        <w:rPr>
          <w:rFonts w:hint="eastAsia" w:ascii="宋体" w:hAnsi="宋体" w:eastAsia="宋体" w:cs="宋体"/>
          <w:color w:val="000000" w:themeColor="text1"/>
          <w:szCs w:val="21"/>
          <w14:textFill>
            <w14:solidFill>
              <w14:schemeClr w14:val="tx1"/>
            </w14:solidFill>
          </w14:textFill>
        </w:rPr>
        <w:t>企业</w:t>
      </w:r>
      <w:r>
        <w:rPr>
          <w:rFonts w:ascii="宋体" w:hAnsi="宋体" w:eastAsia="宋体" w:cs="宋体"/>
          <w:color w:val="000000" w:themeColor="text1"/>
          <w:szCs w:val="21"/>
          <w14:textFill>
            <w14:solidFill>
              <w14:schemeClr w14:val="tx1"/>
            </w14:solidFill>
          </w14:textFill>
        </w:rPr>
        <w:t>办公区</w:t>
      </w:r>
      <w:r>
        <w:rPr>
          <w:rFonts w:hint="eastAsia" w:ascii="宋体" w:hAnsi="宋体" w:eastAsia="宋体" w:cs="宋体"/>
          <w:color w:val="000000" w:themeColor="text1"/>
          <w:szCs w:val="21"/>
          <w14:textFill>
            <w14:solidFill>
              <w14:schemeClr w14:val="tx1"/>
            </w14:solidFill>
          </w14:textFill>
        </w:rPr>
        <w:t>、生活区</w:t>
      </w:r>
      <w:r>
        <w:rPr>
          <w:rFonts w:ascii="宋体" w:hAnsi="宋体" w:eastAsia="宋体" w:cs="宋体"/>
          <w:color w:val="000000" w:themeColor="text1"/>
          <w:szCs w:val="21"/>
          <w14:textFill>
            <w14:solidFill>
              <w14:schemeClr w14:val="tx1"/>
            </w14:solidFill>
          </w14:textFill>
        </w:rPr>
        <w:t>未</w:t>
      </w:r>
      <w:r>
        <w:rPr>
          <w:rFonts w:hint="eastAsia" w:ascii="宋体" w:hAnsi="宋体" w:eastAsia="宋体" w:cs="宋体"/>
          <w:color w:val="000000" w:themeColor="text1"/>
          <w:szCs w:val="21"/>
          <w14:textFill>
            <w14:solidFill>
              <w14:schemeClr w14:val="tx1"/>
            </w14:solidFill>
          </w14:textFill>
        </w:rPr>
        <w:t>分区</w:t>
      </w:r>
      <w:r>
        <w:rPr>
          <w:rFonts w:ascii="宋体" w:hAnsi="宋体" w:eastAsia="宋体" w:cs="宋体"/>
          <w:color w:val="000000" w:themeColor="text1"/>
          <w:szCs w:val="21"/>
          <w14:textFill>
            <w14:solidFill>
              <w14:schemeClr w14:val="tx1"/>
            </w14:solidFill>
          </w14:textFill>
        </w:rPr>
        <w:t>设置</w:t>
      </w:r>
      <w:r>
        <w:rPr>
          <w:rFonts w:hint="eastAsia" w:ascii="宋体" w:hAnsi="宋体" w:eastAsia="宋体" w:cs="宋体"/>
          <w:color w:val="000000" w:themeColor="text1"/>
          <w:szCs w:val="21"/>
          <w14:textFill>
            <w14:solidFill>
              <w14:schemeClr w14:val="tx1"/>
            </w14:solidFill>
          </w14:textFill>
        </w:rPr>
        <w:t>。</w:t>
      </w:r>
    </w:p>
    <w:p w14:paraId="5A76AEB7">
      <w:pPr>
        <w:pStyle w:val="22"/>
        <w:numPr>
          <w:ilvl w:val="1"/>
          <w:numId w:val="5"/>
        </w:numPr>
        <w:tabs>
          <w:tab w:val="left" w:pos="630"/>
        </w:tabs>
        <w:spacing w:before="0" w:beforeLines="0" w:after="0" w:afterLines="0" w:line="440" w:lineRule="exact"/>
        <w:ind w:left="0" w:firstLine="0"/>
        <w:outlineLvl w:val="2"/>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1.1级建（构）筑物、1.3级危险品中转库（核定药量大于500kg）和1.3级成品库的内、外部安全距离不符合</w:t>
      </w:r>
      <w:r>
        <w:rPr>
          <w:rFonts w:ascii="宋体" w:hAnsi="宋体" w:eastAsia="宋体" w:cs="宋体"/>
          <w:color w:val="000000" w:themeColor="text1"/>
          <w:szCs w:val="21"/>
          <w14:textFill>
            <w14:solidFill>
              <w14:schemeClr w14:val="tx1"/>
            </w14:solidFill>
          </w14:textFill>
        </w:rPr>
        <w:t>GB</w:t>
      </w:r>
      <w:r>
        <w:rPr>
          <w:rFonts w:hint="eastAsia" w:ascii="宋体" w:hAnsi="宋体" w:eastAsia="宋体" w:cs="宋体"/>
          <w:color w:val="000000" w:themeColor="text1"/>
          <w:szCs w:val="21"/>
          <w14:textFill>
            <w14:solidFill>
              <w14:schemeClr w14:val="tx1"/>
            </w14:solidFill>
          </w14:textFill>
        </w:rPr>
        <w:t xml:space="preserve"> </w:t>
      </w:r>
      <w:r>
        <w:rPr>
          <w:rFonts w:ascii="宋体" w:hAnsi="宋体" w:eastAsia="宋体" w:cs="宋体"/>
          <w:color w:val="000000" w:themeColor="text1"/>
          <w:szCs w:val="21"/>
          <w14:textFill>
            <w14:solidFill>
              <w14:schemeClr w14:val="tx1"/>
            </w14:solidFill>
          </w14:textFill>
        </w:rPr>
        <w:t>50161</w:t>
      </w:r>
      <w:r>
        <w:rPr>
          <w:rFonts w:hint="eastAsia" w:ascii="宋体" w:hAnsi="宋体" w:eastAsia="宋体" w:cs="宋体"/>
          <w:color w:val="000000" w:themeColor="text1"/>
          <w:szCs w:val="21"/>
          <w14:textFill>
            <w14:solidFill>
              <w14:schemeClr w14:val="tx1"/>
            </w14:solidFill>
          </w14:textFill>
        </w:rPr>
        <w:t>第4章、第5章规定。</w:t>
      </w:r>
    </w:p>
    <w:p w14:paraId="79DDAF04">
      <w:pPr>
        <w:pStyle w:val="22"/>
        <w:numPr>
          <w:ilvl w:val="1"/>
          <w:numId w:val="5"/>
        </w:numPr>
        <w:tabs>
          <w:tab w:val="left" w:pos="630"/>
        </w:tabs>
        <w:spacing w:before="0" w:beforeLines="0" w:after="0" w:afterLines="0" w:line="440" w:lineRule="exact"/>
        <w:ind w:left="0" w:firstLine="0"/>
        <w:outlineLvl w:val="2"/>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未经审批在危险品生产区、总库区内违规搭建建（构）筑物用于生产、储存危险品。</w:t>
      </w:r>
    </w:p>
    <w:p w14:paraId="53F190CE">
      <w:pPr>
        <w:pStyle w:val="22"/>
        <w:numPr>
          <w:ilvl w:val="1"/>
          <w:numId w:val="5"/>
        </w:numPr>
        <w:tabs>
          <w:tab w:val="left" w:pos="630"/>
        </w:tabs>
        <w:spacing w:before="0" w:beforeLines="0" w:after="0" w:afterLines="0" w:line="440" w:lineRule="exact"/>
        <w:ind w:left="0" w:firstLine="0"/>
        <w:outlineLvl w:val="2"/>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将非危险性工（库）房或低危险等级工（库）房用作1.1级工（库）房。</w:t>
      </w:r>
    </w:p>
    <w:p w14:paraId="7CD4D243">
      <w:pPr>
        <w:pStyle w:val="22"/>
        <w:numPr>
          <w:ilvl w:val="1"/>
          <w:numId w:val="5"/>
        </w:numPr>
        <w:tabs>
          <w:tab w:val="left" w:pos="630"/>
        </w:tabs>
        <w:spacing w:before="0" w:beforeLines="0" w:after="0" w:afterLines="0" w:line="440" w:lineRule="exact"/>
        <w:ind w:left="0" w:firstLine="0"/>
        <w:outlineLvl w:val="2"/>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核定药量大于50kg（或涉裸药量大于5kg）的1.1级建（构）筑物的防护屏障缺失一面及以上。</w:t>
      </w:r>
    </w:p>
    <w:p w14:paraId="65AB6915">
      <w:pPr>
        <w:pStyle w:val="22"/>
        <w:numPr>
          <w:ilvl w:val="1"/>
          <w:numId w:val="5"/>
        </w:numPr>
        <w:tabs>
          <w:tab w:val="left" w:pos="630"/>
        </w:tabs>
        <w:spacing w:before="0" w:beforeLines="0" w:after="0" w:afterLines="0" w:line="440" w:lineRule="exact"/>
        <w:ind w:left="0" w:firstLine="0"/>
        <w:outlineLvl w:val="2"/>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1.1级建（构）筑物内的电气设备及线路不符合防爆要求。</w:t>
      </w:r>
    </w:p>
    <w:p w14:paraId="3F69A9AC">
      <w:pPr>
        <w:pStyle w:val="22"/>
        <w:numPr>
          <w:ilvl w:val="1"/>
          <w:numId w:val="5"/>
        </w:numPr>
        <w:tabs>
          <w:tab w:val="left" w:pos="630"/>
        </w:tabs>
        <w:spacing w:before="0" w:beforeLines="0" w:after="0" w:afterLines="0" w:line="440" w:lineRule="exact"/>
        <w:ind w:left="0" w:firstLine="0"/>
        <w:outlineLvl w:val="2"/>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与企业无关的电气线路和通讯线路穿（跨）越危险品生产区、总库区。</w:t>
      </w:r>
    </w:p>
    <w:p w14:paraId="3995990E">
      <w:pPr>
        <w:pStyle w:val="22"/>
        <w:numPr>
          <w:ilvl w:val="1"/>
          <w:numId w:val="5"/>
        </w:numPr>
        <w:tabs>
          <w:tab w:val="left" w:pos="630"/>
        </w:tabs>
        <w:spacing w:before="0" w:beforeLines="0" w:after="0" w:afterLines="0" w:line="440" w:lineRule="exact"/>
        <w:ind w:left="0" w:firstLine="0"/>
        <w:outlineLvl w:val="2"/>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Ⅰ级静电敏感场所的防止静电危害措施缺失。</w:t>
      </w:r>
    </w:p>
    <w:p w14:paraId="4177E3F3">
      <w:pPr>
        <w:pStyle w:val="22"/>
        <w:numPr>
          <w:ilvl w:val="1"/>
          <w:numId w:val="5"/>
        </w:numPr>
        <w:tabs>
          <w:tab w:val="left" w:pos="630"/>
        </w:tabs>
        <w:spacing w:before="0" w:beforeLines="0" w:after="0" w:afterLines="0" w:line="440" w:lineRule="exact"/>
        <w:ind w:left="0" w:firstLine="0"/>
        <w:outlineLvl w:val="2"/>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未建设应用安全风险监测预警系统，或者遮挡、偏移、关闭监控摄像机</w:t>
      </w:r>
      <w:r>
        <w:rPr>
          <w:rFonts w:hint="eastAsia" w:ascii="宋体" w:hAnsi="宋体" w:eastAsia="宋体" w:cs="宋体"/>
          <w:color w:val="000000" w:themeColor="text1"/>
          <w:szCs w:val="21"/>
          <w:lang w:eastAsia="zh-CN"/>
          <w14:textFill>
            <w14:solidFill>
              <w14:schemeClr w14:val="tx1"/>
            </w14:solidFill>
          </w14:textFill>
        </w:rPr>
        <w:t>。</w:t>
      </w:r>
    </w:p>
    <w:p w14:paraId="32951D6A">
      <w:pPr>
        <w:pStyle w:val="22"/>
        <w:numPr>
          <w:ilvl w:val="1"/>
          <w:numId w:val="5"/>
        </w:numPr>
        <w:tabs>
          <w:tab w:val="left" w:pos="630"/>
        </w:tabs>
        <w:spacing w:before="0" w:beforeLines="0" w:after="0" w:afterLines="0" w:line="440" w:lineRule="exact"/>
        <w:ind w:left="0" w:firstLine="0"/>
        <w:outlineLvl w:val="2"/>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生产、购买、销售超标违禁产品，或者生产、购买、销售的产品超许可范围</w:t>
      </w:r>
      <w:r>
        <w:rPr>
          <w:rFonts w:hint="eastAsia" w:ascii="宋体" w:hAnsi="宋体" w:eastAsia="宋体" w:cs="宋体"/>
          <w:color w:val="000000" w:themeColor="text1"/>
          <w:szCs w:val="21"/>
          <w:lang w:eastAsia="zh-CN"/>
          <w14:textFill>
            <w14:solidFill>
              <w14:schemeClr w14:val="tx1"/>
            </w14:solidFill>
          </w14:textFill>
        </w:rPr>
        <w:t>。</w:t>
      </w:r>
    </w:p>
    <w:p w14:paraId="46A809C1">
      <w:pPr>
        <w:pStyle w:val="22"/>
        <w:numPr>
          <w:ilvl w:val="1"/>
          <w:numId w:val="5"/>
        </w:numPr>
        <w:tabs>
          <w:tab w:val="left" w:pos="630"/>
        </w:tabs>
        <w:spacing w:before="0" w:beforeLines="0" w:after="0" w:afterLines="0" w:line="440" w:lineRule="exact"/>
        <w:ind w:left="0" w:firstLine="0"/>
        <w:outlineLvl w:val="2"/>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氧化剂和还原剂违规预混，或者同间储存、粉碎、称量</w:t>
      </w:r>
      <w:r>
        <w:rPr>
          <w:rFonts w:hint="eastAsia" w:ascii="宋体" w:hAnsi="宋体" w:eastAsia="宋体" w:cs="宋体"/>
          <w:color w:val="000000" w:themeColor="text1"/>
          <w:szCs w:val="21"/>
          <w:lang w:eastAsia="zh-CN"/>
          <w14:textFill>
            <w14:solidFill>
              <w14:schemeClr w14:val="tx1"/>
            </w14:solidFill>
          </w14:textFill>
        </w:rPr>
        <w:t>。</w:t>
      </w:r>
    </w:p>
    <w:p w14:paraId="2911D9AE">
      <w:pPr>
        <w:pStyle w:val="22"/>
        <w:numPr>
          <w:ilvl w:val="1"/>
          <w:numId w:val="5"/>
        </w:numPr>
        <w:tabs>
          <w:tab w:val="left" w:pos="630"/>
        </w:tabs>
        <w:spacing w:before="0" w:beforeLines="0" w:after="0" w:afterLines="0" w:line="440" w:lineRule="exact"/>
        <w:ind w:left="0" w:firstLine="0"/>
        <w:outlineLvl w:val="2"/>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退役火药、硝化棉基火药、硝化棉未按标准规定含水储存、专库储存</w:t>
      </w:r>
      <w:r>
        <w:rPr>
          <w:rFonts w:hint="eastAsia" w:ascii="宋体" w:hAnsi="宋体" w:eastAsia="宋体" w:cs="宋体"/>
          <w:color w:val="000000" w:themeColor="text1"/>
          <w:szCs w:val="21"/>
          <w:lang w:eastAsia="zh-CN"/>
          <w14:textFill>
            <w14:solidFill>
              <w14:schemeClr w14:val="tx1"/>
            </w14:solidFill>
          </w14:textFill>
        </w:rPr>
        <w:t>。</w:t>
      </w:r>
    </w:p>
    <w:p w14:paraId="557EA77E">
      <w:pPr>
        <w:pStyle w:val="22"/>
        <w:numPr>
          <w:ilvl w:val="1"/>
          <w:numId w:val="5"/>
        </w:numPr>
        <w:tabs>
          <w:tab w:val="left" w:pos="630"/>
        </w:tabs>
        <w:spacing w:before="0" w:beforeLines="0" w:after="0" w:afterLines="0" w:line="440" w:lineRule="exact"/>
        <w:ind w:left="0" w:firstLine="0"/>
        <w:outlineLvl w:val="2"/>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使用压缩气体直接吹扫设备设施、地面墙面上的药尘</w:t>
      </w:r>
      <w:r>
        <w:rPr>
          <w:rFonts w:hint="eastAsia" w:ascii="宋体" w:hAnsi="宋体" w:eastAsia="宋体" w:cs="宋体"/>
          <w:color w:val="000000" w:themeColor="text1"/>
          <w:szCs w:val="21"/>
          <w:lang w:eastAsia="zh-CN"/>
          <w14:textFill>
            <w14:solidFill>
              <w14:schemeClr w14:val="tx1"/>
            </w14:solidFill>
          </w14:textFill>
        </w:rPr>
        <w:t>。</w:t>
      </w:r>
    </w:p>
    <w:p w14:paraId="349CB052">
      <w:pPr>
        <w:pStyle w:val="22"/>
        <w:numPr>
          <w:ilvl w:val="1"/>
          <w:numId w:val="5"/>
        </w:numPr>
        <w:tabs>
          <w:tab w:val="left" w:pos="630"/>
        </w:tabs>
        <w:spacing w:before="0" w:beforeLines="0" w:after="0" w:afterLines="0" w:line="440" w:lineRule="exact"/>
        <w:ind w:left="0" w:firstLine="0"/>
        <w:outlineLvl w:val="2"/>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1.1级建（构）筑物内超定员作业，或者1.3级建（构）筑物内超过定员1倍及以上</w:t>
      </w:r>
      <w:r>
        <w:rPr>
          <w:rFonts w:hint="eastAsia" w:ascii="宋体" w:hAnsi="宋体" w:eastAsia="宋体" w:cs="宋体"/>
          <w:color w:val="000000" w:themeColor="text1"/>
          <w:szCs w:val="21"/>
          <w:lang w:eastAsia="zh-CN"/>
          <w14:textFill>
            <w14:solidFill>
              <w14:schemeClr w14:val="tx1"/>
            </w14:solidFill>
          </w14:textFill>
        </w:rPr>
        <w:t>。</w:t>
      </w:r>
    </w:p>
    <w:p w14:paraId="68B28C56">
      <w:pPr>
        <w:pStyle w:val="22"/>
        <w:numPr>
          <w:ilvl w:val="1"/>
          <w:numId w:val="5"/>
        </w:numPr>
        <w:tabs>
          <w:tab w:val="left" w:pos="630"/>
        </w:tabs>
        <w:spacing w:before="0" w:beforeLines="0" w:after="0" w:afterLines="0" w:line="440" w:lineRule="exact"/>
        <w:ind w:left="0" w:firstLine="0"/>
        <w:outlineLvl w:val="2"/>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1.1级建（构）筑物存储药量超过核定药量的1倍及以上</w:t>
      </w:r>
      <w:r>
        <w:rPr>
          <w:rFonts w:hint="eastAsia" w:ascii="宋体" w:hAnsi="宋体" w:eastAsia="宋体" w:cs="宋体"/>
          <w:color w:val="000000" w:themeColor="text1"/>
          <w:szCs w:val="21"/>
          <w:lang w:eastAsia="zh-CN"/>
          <w14:textFill>
            <w14:solidFill>
              <w14:schemeClr w14:val="tx1"/>
            </w14:solidFill>
          </w14:textFill>
        </w:rPr>
        <w:t>。</w:t>
      </w:r>
    </w:p>
    <w:p w14:paraId="5E71B5CE">
      <w:pPr>
        <w:pStyle w:val="22"/>
        <w:numPr>
          <w:ilvl w:val="1"/>
          <w:numId w:val="5"/>
        </w:numPr>
        <w:tabs>
          <w:tab w:val="left" w:pos="630"/>
        </w:tabs>
        <w:spacing w:before="0" w:beforeLines="0" w:after="0" w:afterLines="0" w:line="440" w:lineRule="exact"/>
        <w:ind w:left="0" w:firstLine="0"/>
        <w:outlineLvl w:val="2"/>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未清理药尘、药物、有药半成品、成品进行检维修作业</w:t>
      </w:r>
      <w:r>
        <w:rPr>
          <w:rFonts w:hint="eastAsia" w:ascii="宋体" w:hAnsi="宋体" w:eastAsia="宋体" w:cs="宋体"/>
          <w:color w:val="000000" w:themeColor="text1"/>
          <w:szCs w:val="21"/>
          <w:highlight w:val="none"/>
          <w:lang w:eastAsia="zh-CN"/>
          <w14:textFill>
            <w14:solidFill>
              <w14:schemeClr w14:val="tx1"/>
            </w14:solidFill>
          </w14:textFill>
        </w:rPr>
        <w:t>。</w:t>
      </w:r>
    </w:p>
    <w:p w14:paraId="49E9AE47">
      <w:pPr>
        <w:pStyle w:val="22"/>
        <w:numPr>
          <w:ilvl w:val="1"/>
          <w:numId w:val="5"/>
        </w:numPr>
        <w:tabs>
          <w:tab w:val="left" w:pos="630"/>
        </w:tabs>
        <w:spacing w:before="0" w:beforeLines="0" w:after="0" w:afterLines="0" w:line="440" w:lineRule="exact"/>
        <w:ind w:left="0" w:firstLine="0"/>
        <w:outlineLvl w:val="2"/>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机动车（含电动车）直接进入1.1级建（构）筑物</w:t>
      </w:r>
      <w:r>
        <w:rPr>
          <w:rFonts w:hint="eastAsia" w:ascii="宋体" w:hAnsi="宋体" w:eastAsia="宋体" w:cs="宋体"/>
          <w:color w:val="000000" w:themeColor="text1"/>
          <w:szCs w:val="21"/>
          <w:lang w:eastAsia="zh-CN"/>
          <w14:textFill>
            <w14:solidFill>
              <w14:schemeClr w14:val="tx1"/>
            </w14:solidFill>
          </w14:textFill>
        </w:rPr>
        <w:t>。</w:t>
      </w:r>
    </w:p>
    <w:p w14:paraId="06E8B9F6">
      <w:pPr>
        <w:pStyle w:val="22"/>
        <w:numPr>
          <w:ilvl w:val="1"/>
          <w:numId w:val="5"/>
        </w:numPr>
        <w:tabs>
          <w:tab w:val="left" w:pos="630"/>
        </w:tabs>
        <w:spacing w:before="0" w:beforeLines="0" w:after="0" w:afterLines="0" w:line="440" w:lineRule="exact"/>
        <w:ind w:left="0" w:firstLine="0"/>
        <w:outlineLvl w:val="2"/>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涉药机械设备超设计范围使用、超负荷生产，或者擅自对机械设备进行改装和变更</w:t>
      </w:r>
      <w:r>
        <w:rPr>
          <w:rFonts w:hint="eastAsia" w:ascii="宋体" w:hAnsi="宋体" w:eastAsia="宋体" w:cs="宋体"/>
          <w:color w:val="000000" w:themeColor="text1"/>
          <w:szCs w:val="21"/>
          <w:lang w:eastAsia="zh-CN"/>
          <w14:textFill>
            <w14:solidFill>
              <w14:schemeClr w14:val="tx1"/>
            </w14:solidFill>
          </w14:textFill>
        </w:rPr>
        <w:t>。</w:t>
      </w:r>
    </w:p>
    <w:p w14:paraId="34953E52">
      <w:pPr>
        <w:pStyle w:val="22"/>
        <w:numPr>
          <w:ilvl w:val="1"/>
          <w:numId w:val="5"/>
        </w:numPr>
        <w:tabs>
          <w:tab w:val="left" w:pos="630"/>
        </w:tabs>
        <w:spacing w:before="0" w:beforeLines="0" w:after="0" w:afterLines="0" w:line="440" w:lineRule="exact"/>
        <w:ind w:left="0" w:firstLine="0"/>
        <w:outlineLvl w:val="2"/>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违规购买或销售黑火药、烟火药、引火线、退役火药、易制爆危险化学品。</w:t>
      </w:r>
    </w:p>
    <w:p w14:paraId="7580EAEF">
      <w:pPr>
        <w:pStyle w:val="22"/>
        <w:numPr>
          <w:ilvl w:val="1"/>
          <w:numId w:val="5"/>
        </w:numPr>
        <w:tabs>
          <w:tab w:val="left" w:pos="630"/>
        </w:tabs>
        <w:spacing w:before="0" w:beforeLines="0" w:after="0" w:afterLines="0" w:line="440" w:lineRule="exact"/>
        <w:ind w:left="0" w:firstLine="0"/>
        <w:outlineLvl w:val="2"/>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生产、购买、销售不属于烟花爆竹的烟火药制品及其他爆炸物等。</w:t>
      </w:r>
    </w:p>
    <w:p w14:paraId="3B2856C2">
      <w:pPr>
        <w:pStyle w:val="22"/>
        <w:numPr>
          <w:ilvl w:val="1"/>
          <w:numId w:val="5"/>
        </w:numPr>
        <w:tabs>
          <w:tab w:val="left" w:pos="630"/>
        </w:tabs>
        <w:spacing w:before="0" w:beforeLines="0" w:after="0" w:afterLines="0" w:line="440" w:lineRule="exact"/>
        <w:ind w:left="0" w:firstLine="0"/>
        <w:outlineLvl w:val="2"/>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使用明令淘汰的生产工艺、技术、设备从事生产，或者</w:t>
      </w:r>
      <w:r>
        <w:rPr>
          <w:rFonts w:hint="eastAsia" w:ascii="宋体" w:hAnsi="宋体" w:eastAsia="宋体" w:cs="宋体"/>
          <w:color w:val="000000" w:themeColor="text1"/>
          <w:szCs w:val="21"/>
          <w:highlight w:val="none"/>
          <w14:textFill>
            <w14:solidFill>
              <w14:schemeClr w14:val="tx1"/>
            </w14:solidFill>
          </w14:textFill>
        </w:rPr>
        <w:t>生产明令淘汰的产品</w:t>
      </w:r>
      <w:r>
        <w:rPr>
          <w:rFonts w:hint="eastAsia" w:ascii="宋体" w:hAnsi="宋体" w:eastAsia="宋体" w:cs="宋体"/>
          <w:color w:val="000000" w:themeColor="text1"/>
          <w:szCs w:val="21"/>
          <w14:textFill>
            <w14:solidFill>
              <w14:schemeClr w14:val="tx1"/>
            </w14:solidFill>
          </w14:textFill>
        </w:rPr>
        <w:t>。</w:t>
      </w:r>
    </w:p>
    <w:p w14:paraId="72AB174B">
      <w:pPr>
        <w:pStyle w:val="22"/>
        <w:numPr>
          <w:ilvl w:val="1"/>
          <w:numId w:val="5"/>
        </w:numPr>
        <w:tabs>
          <w:tab w:val="left" w:pos="630"/>
        </w:tabs>
        <w:spacing w:before="0" w:beforeLines="0" w:after="0" w:afterLines="0" w:line="440" w:lineRule="exact"/>
        <w:ind w:left="0" w:firstLine="0"/>
        <w:outlineLvl w:val="2"/>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生产使用的药种不符合GB 10631第6.1.7.1和6.2.7.1规定。</w:t>
      </w:r>
    </w:p>
    <w:p w14:paraId="42E901B7">
      <w:pPr>
        <w:pStyle w:val="22"/>
        <w:numPr>
          <w:ilvl w:val="1"/>
          <w:numId w:val="5"/>
        </w:numPr>
        <w:tabs>
          <w:tab w:val="left" w:pos="630"/>
        </w:tabs>
        <w:spacing w:before="0" w:beforeLines="0" w:after="0" w:afterLines="0" w:line="440" w:lineRule="exact"/>
        <w:ind w:left="0" w:firstLine="0"/>
        <w:outlineLvl w:val="2"/>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分包转包生产线、工库房、生产设备设施，或者多股东各自独立组织生产经营。</w:t>
      </w:r>
    </w:p>
    <w:p w14:paraId="1E1ABD1E">
      <w:pPr>
        <w:pStyle w:val="22"/>
        <w:numPr>
          <w:ilvl w:val="1"/>
          <w:numId w:val="5"/>
        </w:numPr>
        <w:tabs>
          <w:tab w:val="left" w:pos="630"/>
        </w:tabs>
        <w:spacing w:before="0" w:beforeLines="0" w:after="0" w:afterLines="0" w:line="440" w:lineRule="exact"/>
        <w:ind w:left="0" w:firstLine="0"/>
        <w:outlineLvl w:val="2"/>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许可证过期、整顿改造、恶劣天气等停产停业期间组织生产作业。</w:t>
      </w:r>
    </w:p>
    <w:p w14:paraId="5ED2E1C7">
      <w:pPr>
        <w:pStyle w:val="22"/>
        <w:numPr>
          <w:ilvl w:val="1"/>
          <w:numId w:val="5"/>
        </w:numPr>
        <w:tabs>
          <w:tab w:val="left" w:pos="630"/>
        </w:tabs>
        <w:spacing w:before="0" w:beforeLines="0" w:after="0" w:afterLines="0" w:line="440" w:lineRule="exact"/>
        <w:ind w:left="0" w:firstLine="0"/>
        <w:outlineLvl w:val="2"/>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在烟花爆竹零售场所燃放烟花爆竹，或者使用明火。</w:t>
      </w:r>
    </w:p>
    <w:p w14:paraId="2EA4C0F6">
      <w:pPr>
        <w:pStyle w:val="22"/>
        <w:numPr>
          <w:ilvl w:val="1"/>
          <w:numId w:val="5"/>
        </w:numPr>
        <w:tabs>
          <w:tab w:val="left" w:pos="630"/>
        </w:tabs>
        <w:spacing w:before="0" w:beforeLines="0" w:after="0" w:afterLines="0" w:line="440" w:lineRule="exact"/>
        <w:ind w:left="0" w:firstLine="0"/>
        <w:outlineLvl w:val="2"/>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零售场所储存的产品数量超许可限量1倍及以上，或者在零售场所外摆放。</w:t>
      </w:r>
    </w:p>
    <w:p w14:paraId="43561D8A">
      <w:pPr>
        <w:pStyle w:val="22"/>
        <w:numPr>
          <w:ilvl w:val="0"/>
          <w:numId w:val="3"/>
        </w:numPr>
        <w:tabs>
          <w:tab w:val="left" w:pos="425"/>
        </w:tabs>
        <w:spacing w:line="440" w:lineRule="exact"/>
        <w:ind w:left="0" w:firstLine="0"/>
        <w:outlineLvl w:val="0"/>
      </w:pPr>
      <w:bookmarkStart w:id="81" w:name="_Toc9099"/>
      <w:r>
        <w:rPr>
          <w:rFonts w:hint="eastAsia"/>
        </w:rPr>
        <w:t>综合判定要素</w:t>
      </w:r>
      <w:bookmarkEnd w:id="81"/>
    </w:p>
    <w:p w14:paraId="167E4EDA">
      <w:pPr>
        <w:pStyle w:val="22"/>
        <w:numPr>
          <w:ilvl w:val="1"/>
          <w:numId w:val="6"/>
        </w:numPr>
        <w:tabs>
          <w:tab w:val="left" w:pos="630"/>
        </w:tabs>
        <w:spacing w:before="0" w:beforeLines="0" w:after="0" w:afterLines="0" w:line="440" w:lineRule="exact"/>
        <w:ind w:left="0" w:firstLine="0"/>
        <w:outlineLvl w:val="2"/>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未建立并落实全员安全生产责任制。</w:t>
      </w:r>
    </w:p>
    <w:p w14:paraId="1B37945D">
      <w:pPr>
        <w:pStyle w:val="22"/>
        <w:numPr>
          <w:ilvl w:val="1"/>
          <w:numId w:val="6"/>
        </w:numPr>
        <w:tabs>
          <w:tab w:val="left" w:pos="630"/>
        </w:tabs>
        <w:spacing w:before="0" w:beforeLines="0" w:after="0" w:afterLines="0" w:line="440" w:lineRule="exact"/>
        <w:ind w:left="0" w:firstLine="0"/>
        <w:outlineLvl w:val="2"/>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未制定并实施生产安全事故隐患排查治理制度。</w:t>
      </w:r>
    </w:p>
    <w:p w14:paraId="4268136E">
      <w:pPr>
        <w:pStyle w:val="22"/>
        <w:numPr>
          <w:ilvl w:val="1"/>
          <w:numId w:val="6"/>
        </w:numPr>
        <w:tabs>
          <w:tab w:val="left" w:pos="630"/>
        </w:tabs>
        <w:spacing w:before="0" w:beforeLines="0" w:after="0" w:afterLines="0" w:line="440" w:lineRule="exact"/>
        <w:ind w:left="0" w:firstLine="0"/>
        <w:outlineLvl w:val="2"/>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特种作业人员的特种作业操作证不在有效期内。</w:t>
      </w:r>
    </w:p>
    <w:p w14:paraId="7504C4D5">
      <w:pPr>
        <w:pStyle w:val="22"/>
        <w:numPr>
          <w:ilvl w:val="1"/>
          <w:numId w:val="6"/>
        </w:numPr>
        <w:tabs>
          <w:tab w:val="left" w:pos="630"/>
        </w:tabs>
        <w:spacing w:before="0" w:beforeLines="0" w:after="0" w:afterLines="0" w:line="440" w:lineRule="exact"/>
        <w:ind w:left="0" w:firstLine="0"/>
        <w:outlineLvl w:val="2"/>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未建立并落实动火作业、用电作业、受限空间作业、涉药检维修等特殊作业安全管理制度。</w:t>
      </w:r>
    </w:p>
    <w:p w14:paraId="25067B4F">
      <w:pPr>
        <w:pStyle w:val="22"/>
        <w:numPr>
          <w:ilvl w:val="1"/>
          <w:numId w:val="6"/>
        </w:numPr>
        <w:tabs>
          <w:tab w:val="left" w:pos="630"/>
        </w:tabs>
        <w:spacing w:before="0" w:beforeLines="0" w:after="0" w:afterLines="0" w:line="440" w:lineRule="exact"/>
        <w:ind w:left="0" w:firstLine="0"/>
        <w:outlineLvl w:val="2"/>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除5.</w:t>
      </w:r>
      <w:r>
        <w:rPr>
          <w:rFonts w:hint="eastAsia" w:ascii="宋体" w:hAnsi="宋体" w:eastAsia="宋体" w:cs="宋体"/>
          <w:color w:val="000000" w:themeColor="text1"/>
          <w:szCs w:val="21"/>
          <w:lang w:val="en-US" w:eastAsia="zh-CN"/>
          <w14:textFill>
            <w14:solidFill>
              <w14:schemeClr w14:val="tx1"/>
            </w14:solidFill>
          </w14:textFill>
        </w:rPr>
        <w:t>6</w:t>
      </w:r>
      <w:r>
        <w:rPr>
          <w:rFonts w:hint="eastAsia" w:ascii="宋体" w:hAnsi="宋体" w:eastAsia="宋体" w:cs="宋体"/>
          <w:color w:val="000000" w:themeColor="text1"/>
          <w:szCs w:val="21"/>
          <w14:textFill>
            <w14:solidFill>
              <w14:schemeClr w14:val="tx1"/>
            </w14:solidFill>
          </w14:textFill>
        </w:rPr>
        <w:t>外，1.3级建（构）筑物的内、外部安全距离不符合</w:t>
      </w:r>
      <w:r>
        <w:rPr>
          <w:rFonts w:ascii="宋体" w:hAnsi="宋体" w:eastAsia="宋体" w:cs="宋体"/>
          <w:color w:val="000000" w:themeColor="text1"/>
          <w:szCs w:val="21"/>
          <w14:textFill>
            <w14:solidFill>
              <w14:schemeClr w14:val="tx1"/>
            </w14:solidFill>
          </w14:textFill>
        </w:rPr>
        <w:t>GB</w:t>
      </w:r>
      <w:r>
        <w:rPr>
          <w:rFonts w:hint="eastAsia" w:ascii="宋体" w:hAnsi="宋体" w:eastAsia="宋体" w:cs="宋体"/>
          <w:color w:val="000000" w:themeColor="text1"/>
          <w:szCs w:val="21"/>
          <w14:textFill>
            <w14:solidFill>
              <w14:schemeClr w14:val="tx1"/>
            </w14:solidFill>
          </w14:textFill>
        </w:rPr>
        <w:t xml:space="preserve"> </w:t>
      </w:r>
      <w:r>
        <w:rPr>
          <w:rFonts w:ascii="宋体" w:hAnsi="宋体" w:eastAsia="宋体" w:cs="宋体"/>
          <w:color w:val="000000" w:themeColor="text1"/>
          <w:szCs w:val="21"/>
          <w14:textFill>
            <w14:solidFill>
              <w14:schemeClr w14:val="tx1"/>
            </w14:solidFill>
          </w14:textFill>
        </w:rPr>
        <w:t>50161</w:t>
      </w:r>
      <w:r>
        <w:rPr>
          <w:rFonts w:hint="eastAsia" w:ascii="宋体" w:hAnsi="宋体" w:eastAsia="宋体" w:cs="宋体"/>
          <w:color w:val="000000" w:themeColor="text1"/>
          <w:szCs w:val="21"/>
          <w14:textFill>
            <w14:solidFill>
              <w14:schemeClr w14:val="tx1"/>
            </w14:solidFill>
          </w14:textFill>
        </w:rPr>
        <w:t>第4章、第5章规定。</w:t>
      </w:r>
    </w:p>
    <w:p w14:paraId="701240B2">
      <w:pPr>
        <w:pStyle w:val="22"/>
        <w:numPr>
          <w:ilvl w:val="1"/>
          <w:numId w:val="6"/>
        </w:numPr>
        <w:tabs>
          <w:tab w:val="left" w:pos="630"/>
        </w:tabs>
        <w:spacing w:before="0" w:beforeLines="0" w:after="0" w:afterLines="0" w:line="440" w:lineRule="exact"/>
        <w:ind w:left="0" w:firstLine="0"/>
        <w:outlineLvl w:val="2"/>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除5.</w:t>
      </w:r>
      <w:r>
        <w:rPr>
          <w:rFonts w:hint="eastAsia" w:ascii="宋体" w:hAnsi="宋体" w:eastAsia="宋体" w:cs="宋体"/>
          <w:color w:val="000000" w:themeColor="text1"/>
          <w:szCs w:val="21"/>
          <w:lang w:val="en-US" w:eastAsia="zh-CN"/>
          <w14:textFill>
            <w14:solidFill>
              <w14:schemeClr w14:val="tx1"/>
            </w14:solidFill>
          </w14:textFill>
        </w:rPr>
        <w:t>7</w:t>
      </w:r>
      <w:r>
        <w:rPr>
          <w:rFonts w:hint="eastAsia" w:ascii="宋体" w:hAnsi="宋体" w:eastAsia="宋体" w:cs="宋体"/>
          <w:color w:val="000000" w:themeColor="text1"/>
          <w:szCs w:val="21"/>
          <w14:textFill>
            <w14:solidFill>
              <w14:schemeClr w14:val="tx1"/>
            </w14:solidFill>
          </w14:textFill>
        </w:rPr>
        <w:t>、5.</w:t>
      </w:r>
      <w:r>
        <w:rPr>
          <w:rFonts w:hint="eastAsia" w:ascii="宋体" w:hAnsi="宋体" w:eastAsia="宋体" w:cs="宋体"/>
          <w:color w:val="000000" w:themeColor="text1"/>
          <w:szCs w:val="21"/>
          <w:lang w:val="en-US" w:eastAsia="zh-CN"/>
          <w14:textFill>
            <w14:solidFill>
              <w14:schemeClr w14:val="tx1"/>
            </w14:solidFill>
          </w14:textFill>
        </w:rPr>
        <w:t>8</w:t>
      </w:r>
      <w:r>
        <w:rPr>
          <w:rFonts w:hint="eastAsia" w:ascii="宋体" w:hAnsi="宋体" w:eastAsia="宋体" w:cs="宋体"/>
          <w:color w:val="000000" w:themeColor="text1"/>
          <w:szCs w:val="21"/>
          <w14:textFill>
            <w14:solidFill>
              <w14:schemeClr w14:val="tx1"/>
            </w14:solidFill>
          </w14:textFill>
        </w:rPr>
        <w:t>外，擅自改变工库房用途，或者私搭乱建工库房、遮雨棚等建（构）筑物。</w:t>
      </w:r>
    </w:p>
    <w:p w14:paraId="58503BF3">
      <w:pPr>
        <w:pStyle w:val="22"/>
        <w:numPr>
          <w:ilvl w:val="1"/>
          <w:numId w:val="6"/>
        </w:numPr>
        <w:tabs>
          <w:tab w:val="left" w:pos="630"/>
        </w:tabs>
        <w:spacing w:before="0" w:beforeLines="0" w:after="0" w:afterLines="0" w:line="440" w:lineRule="exact"/>
        <w:ind w:left="0" w:firstLine="0"/>
        <w:outlineLvl w:val="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除5.</w:t>
      </w:r>
      <w:r>
        <w:rPr>
          <w:rFonts w:hint="eastAsia" w:ascii="宋体" w:hAnsi="宋体" w:eastAsia="宋体" w:cs="宋体"/>
          <w:color w:val="000000" w:themeColor="text1"/>
          <w:szCs w:val="21"/>
          <w:highlight w:val="none"/>
          <w:lang w:val="en-US" w:eastAsia="zh-CN"/>
          <w14:textFill>
            <w14:solidFill>
              <w14:schemeClr w14:val="tx1"/>
            </w14:solidFill>
          </w14:textFill>
        </w:rPr>
        <w:t>9</w:t>
      </w:r>
      <w:r>
        <w:rPr>
          <w:rFonts w:hint="eastAsia" w:ascii="宋体" w:hAnsi="宋体" w:eastAsia="宋体" w:cs="宋体"/>
          <w:color w:val="000000" w:themeColor="text1"/>
          <w:szCs w:val="21"/>
          <w:highlight w:val="none"/>
          <w14:textFill>
            <w14:solidFill>
              <w14:schemeClr w14:val="tx1"/>
            </w14:solidFill>
          </w14:textFill>
        </w:rPr>
        <w:t>外，1.1级建（构）筑物的防护屏障不符合</w:t>
      </w:r>
      <w:r>
        <w:rPr>
          <w:rFonts w:ascii="宋体" w:hAnsi="宋体" w:eastAsia="宋体" w:cs="宋体"/>
          <w:color w:val="000000" w:themeColor="text1"/>
          <w:szCs w:val="21"/>
          <w:highlight w:val="none"/>
          <w14:textFill>
            <w14:solidFill>
              <w14:schemeClr w14:val="tx1"/>
            </w14:solidFill>
          </w14:textFill>
        </w:rPr>
        <w:t>GB</w:t>
      </w:r>
      <w:r>
        <w:rPr>
          <w:rFonts w:hint="eastAsia" w:ascii="宋体" w:hAnsi="宋体" w:eastAsia="宋体" w:cs="宋体"/>
          <w:color w:val="000000" w:themeColor="text1"/>
          <w:szCs w:val="21"/>
          <w:highlight w:val="none"/>
          <w14:textFill>
            <w14:solidFill>
              <w14:schemeClr w14:val="tx1"/>
            </w14:solidFill>
          </w14:textFill>
        </w:rPr>
        <w:t xml:space="preserve"> </w:t>
      </w:r>
      <w:r>
        <w:rPr>
          <w:rFonts w:ascii="宋体" w:hAnsi="宋体" w:eastAsia="宋体" w:cs="宋体"/>
          <w:color w:val="000000" w:themeColor="text1"/>
          <w:szCs w:val="21"/>
          <w:highlight w:val="none"/>
          <w14:textFill>
            <w14:solidFill>
              <w14:schemeClr w14:val="tx1"/>
            </w14:solidFill>
          </w14:textFill>
        </w:rPr>
        <w:t>50161</w:t>
      </w:r>
      <w:r>
        <w:rPr>
          <w:rFonts w:hint="eastAsia" w:ascii="宋体" w:hAnsi="宋体" w:eastAsia="宋体" w:cs="宋体"/>
          <w:color w:val="000000" w:themeColor="text1"/>
          <w:szCs w:val="21"/>
          <w:highlight w:val="none"/>
          <w14:textFill>
            <w14:solidFill>
              <w14:schemeClr w14:val="tx1"/>
            </w14:solidFill>
          </w14:textFill>
        </w:rPr>
        <w:t>第5.4的规定。</w:t>
      </w:r>
    </w:p>
    <w:p w14:paraId="1683A033">
      <w:pPr>
        <w:pStyle w:val="22"/>
        <w:numPr>
          <w:ilvl w:val="1"/>
          <w:numId w:val="6"/>
        </w:numPr>
        <w:tabs>
          <w:tab w:val="left" w:pos="630"/>
        </w:tabs>
        <w:spacing w:before="0" w:beforeLines="0" w:after="0" w:afterLines="0" w:line="440" w:lineRule="exact"/>
        <w:ind w:left="0" w:firstLine="0"/>
        <w:outlineLvl w:val="2"/>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Ⅱ级静电敏感场所的防止静电危害措施缺失</w:t>
      </w:r>
      <w:r>
        <w:rPr>
          <w:rFonts w:hint="eastAsia" w:ascii="宋体" w:hAnsi="宋体" w:eastAsia="宋体" w:cs="宋体"/>
          <w:color w:val="000000" w:themeColor="text1"/>
          <w:szCs w:val="21"/>
          <w:lang w:eastAsia="zh-CN"/>
          <w14:textFill>
            <w14:solidFill>
              <w14:schemeClr w14:val="tx1"/>
            </w14:solidFill>
          </w14:textFill>
        </w:rPr>
        <w:t>。</w:t>
      </w:r>
    </w:p>
    <w:p w14:paraId="5985273A">
      <w:pPr>
        <w:pStyle w:val="22"/>
        <w:numPr>
          <w:ilvl w:val="1"/>
          <w:numId w:val="6"/>
        </w:numPr>
        <w:tabs>
          <w:tab w:val="left" w:pos="630"/>
        </w:tabs>
        <w:spacing w:before="0" w:beforeLines="0" w:after="0" w:afterLines="0" w:line="440" w:lineRule="exact"/>
        <w:ind w:left="0" w:firstLine="0"/>
        <w:outlineLvl w:val="2"/>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危险品生产区和危险品总库区之间厂外运输烟火药未设置专用道路</w:t>
      </w:r>
      <w:r>
        <w:rPr>
          <w:rFonts w:hint="eastAsia" w:ascii="宋体" w:hAnsi="宋体" w:eastAsia="宋体" w:cs="宋体"/>
          <w:color w:val="000000" w:themeColor="text1"/>
          <w:szCs w:val="21"/>
          <w:lang w:eastAsia="zh-CN"/>
          <w14:textFill>
            <w14:solidFill>
              <w14:schemeClr w14:val="tx1"/>
            </w14:solidFill>
          </w14:textFill>
        </w:rPr>
        <w:t>。</w:t>
      </w:r>
    </w:p>
    <w:p w14:paraId="11EFEB26">
      <w:pPr>
        <w:pStyle w:val="22"/>
        <w:numPr>
          <w:ilvl w:val="1"/>
          <w:numId w:val="6"/>
        </w:numPr>
        <w:tabs>
          <w:tab w:val="left" w:pos="630"/>
        </w:tabs>
        <w:spacing w:before="0" w:beforeLines="0" w:after="0" w:afterLines="0" w:line="440" w:lineRule="exact"/>
        <w:ind w:left="0" w:firstLine="0"/>
        <w:outlineLvl w:val="2"/>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中转库、药物总库和成品总库的存储能力不满足“三库”设计基本要求</w:t>
      </w:r>
      <w:r>
        <w:rPr>
          <w:rFonts w:hint="eastAsia" w:ascii="宋体" w:hAnsi="宋体" w:eastAsia="宋体" w:cs="宋体"/>
          <w:color w:val="000000" w:themeColor="text1"/>
          <w:szCs w:val="21"/>
          <w:lang w:eastAsia="zh-CN"/>
          <w14:textFill>
            <w14:solidFill>
              <w14:schemeClr w14:val="tx1"/>
            </w14:solidFill>
          </w14:textFill>
        </w:rPr>
        <w:t>。</w:t>
      </w:r>
    </w:p>
    <w:p w14:paraId="5DBBBD25">
      <w:pPr>
        <w:pStyle w:val="22"/>
        <w:numPr>
          <w:ilvl w:val="1"/>
          <w:numId w:val="6"/>
        </w:numPr>
        <w:tabs>
          <w:tab w:val="left" w:pos="630"/>
        </w:tabs>
        <w:spacing w:before="0" w:beforeLines="0" w:after="0" w:afterLines="0" w:line="440" w:lineRule="exact"/>
        <w:ind w:left="0" w:firstLine="0"/>
        <w:outlineLvl w:val="2"/>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1.1级、1.3级</w:t>
      </w:r>
      <w:r>
        <w:rPr>
          <w:rFonts w:hint="eastAsia" w:ascii="宋体" w:hAnsi="宋体" w:eastAsia="宋体" w:cs="宋体"/>
          <w:color w:val="000000" w:themeColor="text1"/>
          <w:szCs w:val="21"/>
          <w14:textFill>
            <w14:solidFill>
              <w14:schemeClr w14:val="tx1"/>
            </w14:solidFill>
          </w14:textFill>
        </w:rPr>
        <w:t>建（构）筑物</w:t>
      </w:r>
      <w:r>
        <w:rPr>
          <w:rFonts w:hint="eastAsia" w:ascii="宋体" w:hAnsi="宋体" w:eastAsia="宋体" w:cs="宋体"/>
          <w:color w:val="000000" w:themeColor="text1"/>
          <w:szCs w:val="21"/>
          <w:lang w:eastAsia="zh-CN"/>
          <w14:textFill>
            <w14:solidFill>
              <w14:schemeClr w14:val="tx1"/>
            </w14:solidFill>
          </w14:textFill>
        </w:rPr>
        <w:t>的建筑结构不符合</w:t>
      </w:r>
      <w:r>
        <w:rPr>
          <w:rFonts w:ascii="宋体" w:hAnsi="宋体" w:eastAsia="宋体" w:cs="宋体"/>
          <w:color w:val="000000" w:themeColor="text1"/>
          <w:szCs w:val="21"/>
          <w14:textFill>
            <w14:solidFill>
              <w14:schemeClr w14:val="tx1"/>
            </w14:solidFill>
          </w14:textFill>
        </w:rPr>
        <w:t>GB</w:t>
      </w:r>
      <w:r>
        <w:rPr>
          <w:rFonts w:hint="eastAsia" w:ascii="宋体" w:hAnsi="宋体" w:eastAsia="宋体" w:cs="宋体"/>
          <w:color w:val="000000" w:themeColor="text1"/>
          <w:szCs w:val="21"/>
          <w14:textFill>
            <w14:solidFill>
              <w14:schemeClr w14:val="tx1"/>
            </w14:solidFill>
          </w14:textFill>
        </w:rPr>
        <w:t xml:space="preserve"> </w:t>
      </w:r>
      <w:r>
        <w:rPr>
          <w:rFonts w:ascii="宋体" w:hAnsi="宋体" w:eastAsia="宋体" w:cs="宋体"/>
          <w:color w:val="000000" w:themeColor="text1"/>
          <w:szCs w:val="21"/>
          <w14:textFill>
            <w14:solidFill>
              <w14:schemeClr w14:val="tx1"/>
            </w14:solidFill>
          </w14:textFill>
        </w:rPr>
        <w:t>50161</w:t>
      </w:r>
      <w:r>
        <w:rPr>
          <w:rFonts w:hint="eastAsia" w:ascii="宋体" w:hAnsi="宋体" w:eastAsia="宋体" w:cs="宋体"/>
          <w:color w:val="000000" w:themeColor="text1"/>
          <w:szCs w:val="21"/>
          <w14:textFill>
            <w14:solidFill>
              <w14:schemeClr w14:val="tx1"/>
            </w14:solidFill>
          </w14:textFill>
        </w:rPr>
        <w:t>第</w:t>
      </w:r>
      <w:r>
        <w:rPr>
          <w:rFonts w:hint="eastAsia" w:ascii="宋体" w:hAnsi="宋体" w:eastAsia="宋体" w:cs="宋体"/>
          <w:color w:val="000000" w:themeColor="text1"/>
          <w:szCs w:val="21"/>
          <w:lang w:val="en-US" w:eastAsia="zh-CN"/>
          <w14:textFill>
            <w14:solidFill>
              <w14:schemeClr w14:val="tx1"/>
            </w14:solidFill>
          </w14:textFill>
        </w:rPr>
        <w:t>8章</w:t>
      </w:r>
      <w:r>
        <w:rPr>
          <w:rFonts w:hint="eastAsia" w:ascii="宋体" w:hAnsi="宋体" w:eastAsia="宋体" w:cs="宋体"/>
          <w:color w:val="000000" w:themeColor="text1"/>
          <w:szCs w:val="21"/>
          <w14:textFill>
            <w14:solidFill>
              <w14:schemeClr w14:val="tx1"/>
            </w14:solidFill>
          </w14:textFill>
        </w:rPr>
        <w:t>规定。</w:t>
      </w:r>
    </w:p>
    <w:p w14:paraId="2D41FB0F">
      <w:pPr>
        <w:pStyle w:val="22"/>
        <w:numPr>
          <w:ilvl w:val="1"/>
          <w:numId w:val="6"/>
        </w:numPr>
        <w:tabs>
          <w:tab w:val="left" w:pos="630"/>
        </w:tabs>
        <w:spacing w:before="0" w:beforeLines="0" w:after="0" w:afterLines="0" w:line="440" w:lineRule="exact"/>
        <w:ind w:left="0" w:firstLine="0"/>
        <w:outlineLvl w:val="2"/>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除5.</w:t>
      </w:r>
      <w:r>
        <w:rPr>
          <w:rFonts w:ascii="宋体" w:hAnsi="宋体" w:eastAsia="宋体" w:cs="宋体"/>
          <w:color w:val="000000" w:themeColor="text1"/>
          <w:szCs w:val="21"/>
          <w:lang w:val="en-US"/>
          <w14:textFill>
            <w14:solidFill>
              <w14:schemeClr w14:val="tx1"/>
            </w14:solidFill>
          </w14:textFill>
        </w:rPr>
        <w:t>1</w:t>
      </w:r>
      <w:r>
        <w:rPr>
          <w:rFonts w:hint="eastAsia" w:ascii="宋体" w:hAnsi="宋体" w:eastAsia="宋体" w:cs="宋体"/>
          <w:color w:val="000000" w:themeColor="text1"/>
          <w:szCs w:val="21"/>
          <w:lang w:val="en-US" w:eastAsia="zh-CN"/>
          <w14:textFill>
            <w14:solidFill>
              <w14:schemeClr w14:val="tx1"/>
            </w14:solidFill>
          </w14:textFill>
        </w:rPr>
        <w:t>8</w:t>
      </w:r>
      <w:r>
        <w:rPr>
          <w:rFonts w:hint="eastAsia" w:ascii="宋体" w:hAnsi="宋体" w:eastAsia="宋体" w:cs="宋体"/>
          <w:color w:val="000000" w:themeColor="text1"/>
          <w:szCs w:val="21"/>
          <w14:textFill>
            <w14:solidFill>
              <w14:schemeClr w14:val="tx1"/>
            </w14:solidFill>
          </w14:textFill>
        </w:rPr>
        <w:t>外，1.3级建（构）筑物超过定员作业。</w:t>
      </w:r>
    </w:p>
    <w:p w14:paraId="3D7EB925">
      <w:pPr>
        <w:pStyle w:val="22"/>
        <w:numPr>
          <w:ilvl w:val="1"/>
          <w:numId w:val="6"/>
        </w:numPr>
        <w:tabs>
          <w:tab w:val="left" w:pos="630"/>
        </w:tabs>
        <w:spacing w:before="0" w:beforeLines="0" w:after="0" w:afterLines="0" w:line="440" w:lineRule="exact"/>
        <w:ind w:left="0" w:firstLine="0"/>
        <w:outlineLvl w:val="2"/>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除5.1</w:t>
      </w:r>
      <w:r>
        <w:rPr>
          <w:rFonts w:hint="eastAsia" w:ascii="宋体" w:hAnsi="宋体" w:eastAsia="宋体" w:cs="宋体"/>
          <w:color w:val="000000" w:themeColor="text1"/>
          <w:szCs w:val="21"/>
          <w:lang w:val="en-US" w:eastAsia="zh-CN"/>
          <w14:textFill>
            <w14:solidFill>
              <w14:schemeClr w14:val="tx1"/>
            </w14:solidFill>
          </w14:textFill>
        </w:rPr>
        <w:t>9</w:t>
      </w:r>
      <w:r>
        <w:rPr>
          <w:rFonts w:hint="eastAsia" w:ascii="宋体" w:hAnsi="宋体" w:eastAsia="宋体" w:cs="宋体"/>
          <w:color w:val="000000" w:themeColor="text1"/>
          <w:szCs w:val="21"/>
          <w14:textFill>
            <w14:solidFill>
              <w14:schemeClr w14:val="tx1"/>
            </w14:solidFill>
          </w14:textFill>
        </w:rPr>
        <w:t>外，1.1级建（构）筑物存储药量超过核定药量。</w:t>
      </w:r>
    </w:p>
    <w:p w14:paraId="25019D8E">
      <w:pPr>
        <w:pStyle w:val="22"/>
        <w:numPr>
          <w:ilvl w:val="1"/>
          <w:numId w:val="6"/>
        </w:numPr>
        <w:tabs>
          <w:tab w:val="left" w:pos="630"/>
        </w:tabs>
        <w:spacing w:before="0" w:beforeLines="0" w:after="0" w:afterLines="0" w:line="440" w:lineRule="exact"/>
        <w:ind w:left="0" w:firstLine="0"/>
        <w:outlineLvl w:val="2"/>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1.3级建（构）筑物存储药量超过核定药量的1倍及以上。</w:t>
      </w:r>
    </w:p>
    <w:p w14:paraId="381FE38E">
      <w:pPr>
        <w:pStyle w:val="22"/>
        <w:numPr>
          <w:ilvl w:val="1"/>
          <w:numId w:val="6"/>
        </w:numPr>
        <w:tabs>
          <w:tab w:val="left" w:pos="630"/>
        </w:tabs>
        <w:spacing w:before="0" w:beforeLines="0" w:after="0" w:afterLines="0" w:line="440" w:lineRule="exact"/>
        <w:ind w:left="0" w:firstLine="0"/>
        <w:outlineLvl w:val="2"/>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工作台面、地面、墙面或机械设备上药尘积累未及时清理。</w:t>
      </w:r>
    </w:p>
    <w:p w14:paraId="3AD2220D">
      <w:pPr>
        <w:pStyle w:val="22"/>
        <w:numPr>
          <w:ilvl w:val="1"/>
          <w:numId w:val="6"/>
        </w:numPr>
        <w:tabs>
          <w:tab w:val="left" w:pos="630"/>
        </w:tabs>
        <w:spacing w:before="0" w:beforeLines="0" w:after="0" w:afterLines="0" w:line="440" w:lineRule="exact"/>
        <w:ind w:left="0" w:firstLine="0"/>
        <w:outlineLvl w:val="2"/>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机动车（含电动车）违规进入1.3级危险品总仓库。</w:t>
      </w:r>
    </w:p>
    <w:p w14:paraId="22A049E9">
      <w:pPr>
        <w:pStyle w:val="22"/>
        <w:numPr>
          <w:ilvl w:val="1"/>
          <w:numId w:val="6"/>
        </w:numPr>
        <w:tabs>
          <w:tab w:val="left" w:pos="630"/>
        </w:tabs>
        <w:spacing w:before="0" w:beforeLines="0" w:after="0" w:afterLines="0" w:line="440" w:lineRule="exact"/>
        <w:ind w:left="0" w:firstLine="0"/>
        <w:outlineLvl w:val="2"/>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危险品</w:t>
      </w:r>
      <w:r>
        <w:rPr>
          <w:rFonts w:ascii="宋体" w:hAnsi="宋体" w:eastAsia="宋体" w:cs="宋体"/>
          <w:color w:val="000000" w:themeColor="text1"/>
          <w:szCs w:val="21"/>
          <w14:textFill>
            <w14:solidFill>
              <w14:schemeClr w14:val="tx1"/>
            </w14:solidFill>
          </w14:textFill>
        </w:rPr>
        <w:t>运输车在</w:t>
      </w:r>
      <w:r>
        <w:rPr>
          <w:rFonts w:hint="eastAsia" w:ascii="宋体" w:hAnsi="宋体" w:eastAsia="宋体" w:cs="宋体"/>
          <w:color w:val="000000" w:themeColor="text1"/>
          <w:szCs w:val="21"/>
          <w14:textFill>
            <w14:solidFill>
              <w14:schemeClr w14:val="tx1"/>
            </w14:solidFill>
          </w14:textFill>
        </w:rPr>
        <w:t>其他</w:t>
      </w:r>
      <w:r>
        <w:rPr>
          <w:rFonts w:ascii="宋体" w:hAnsi="宋体" w:eastAsia="宋体" w:cs="宋体"/>
          <w:color w:val="000000" w:themeColor="text1"/>
          <w:szCs w:val="21"/>
          <w14:textFill>
            <w14:solidFill>
              <w14:schemeClr w14:val="tx1"/>
            </w14:solidFill>
          </w14:textFill>
        </w:rPr>
        <w:t>危险性建（构）筑物防护屏障内穿行</w:t>
      </w:r>
      <w:r>
        <w:rPr>
          <w:rFonts w:hint="eastAsia" w:ascii="宋体" w:hAnsi="宋体" w:eastAsia="宋体" w:cs="宋体"/>
          <w:color w:val="000000" w:themeColor="text1"/>
          <w:szCs w:val="21"/>
          <w14:textFill>
            <w14:solidFill>
              <w14:schemeClr w14:val="tx1"/>
            </w14:solidFill>
          </w14:textFill>
        </w:rPr>
        <w:t>。</w:t>
      </w:r>
    </w:p>
    <w:p w14:paraId="5270897B">
      <w:pPr>
        <w:pStyle w:val="22"/>
        <w:numPr>
          <w:ilvl w:val="1"/>
          <w:numId w:val="6"/>
        </w:numPr>
        <w:tabs>
          <w:tab w:val="left" w:pos="630"/>
        </w:tabs>
        <w:spacing w:before="0" w:beforeLines="0" w:after="0" w:afterLines="0" w:line="440" w:lineRule="exact"/>
        <w:ind w:left="0" w:firstLine="0"/>
        <w:outlineLvl w:val="2"/>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危险品</w:t>
      </w:r>
      <w:r>
        <w:rPr>
          <w:rFonts w:ascii="宋体" w:hAnsi="宋体" w:eastAsia="宋体" w:cs="宋体"/>
          <w:color w:val="000000" w:themeColor="text1"/>
          <w:szCs w:val="21"/>
          <w14:textFill>
            <w14:solidFill>
              <w14:schemeClr w14:val="tx1"/>
            </w14:solidFill>
          </w14:textFill>
        </w:rPr>
        <w:t>运输车</w:t>
      </w:r>
      <w:r>
        <w:rPr>
          <w:rFonts w:hint="eastAsia" w:ascii="宋体" w:hAnsi="宋体" w:eastAsia="宋体" w:cs="宋体"/>
          <w:color w:val="000000" w:themeColor="text1"/>
          <w:szCs w:val="21"/>
          <w:lang w:val="en-US" w:eastAsia="zh-CN"/>
          <w14:textFill>
            <w14:solidFill>
              <w14:schemeClr w14:val="tx1"/>
            </w14:solidFill>
          </w14:textFill>
        </w:rPr>
        <w:t>运输物品的堆码高度超过运输工具围挡、挡板高度，或者未按要求封闭运输</w:t>
      </w:r>
      <w:r>
        <w:rPr>
          <w:rFonts w:hint="eastAsia" w:ascii="宋体" w:hAnsi="宋体" w:eastAsia="宋体" w:cs="宋体"/>
          <w:color w:val="000000" w:themeColor="text1"/>
          <w:szCs w:val="21"/>
          <w14:textFill>
            <w14:solidFill>
              <w14:schemeClr w14:val="tx1"/>
            </w14:solidFill>
          </w14:textFill>
        </w:rPr>
        <w:t>。</w:t>
      </w:r>
    </w:p>
    <w:p w14:paraId="49A4F6D7">
      <w:pPr>
        <w:pStyle w:val="22"/>
        <w:numPr>
          <w:ilvl w:val="1"/>
          <w:numId w:val="6"/>
        </w:numPr>
        <w:tabs>
          <w:tab w:val="left" w:pos="630"/>
        </w:tabs>
        <w:spacing w:before="0" w:beforeLines="0" w:after="0" w:afterLines="0" w:line="440" w:lineRule="exact"/>
        <w:ind w:left="0" w:firstLine="0"/>
        <w:outlineLvl w:val="2"/>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成品库产品堆垛超高、通道阻塞，或者存放其他危险物品。</w:t>
      </w:r>
    </w:p>
    <w:p w14:paraId="4815817E">
      <w:pPr>
        <w:pStyle w:val="22"/>
        <w:numPr>
          <w:ilvl w:val="1"/>
          <w:numId w:val="6"/>
        </w:numPr>
        <w:tabs>
          <w:tab w:val="left" w:pos="630"/>
        </w:tabs>
        <w:spacing w:before="0" w:beforeLines="0" w:after="0" w:afterLines="0" w:line="440" w:lineRule="exact"/>
        <w:ind w:left="0" w:firstLine="0"/>
        <w:outlineLvl w:val="2"/>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成品库内存放的产品未张贴流向标签，或者实际库存与流向系统库存不一致。</w:t>
      </w:r>
    </w:p>
    <w:p w14:paraId="534AB312">
      <w:pPr>
        <w:pStyle w:val="23"/>
        <w:keepNext w:val="0"/>
        <w:widowControl w:val="0"/>
        <w:numPr>
          <w:ilvl w:val="0"/>
          <w:numId w:val="0"/>
        </w:numPr>
        <w:spacing w:before="0" w:after="0" w:line="440" w:lineRule="exact"/>
        <w:ind w:left="3969"/>
        <w:outlineLvl w:val="1"/>
        <w:rPr>
          <w:highlight w:val="red"/>
        </w:rPr>
      </w:pPr>
      <w:bookmarkStart w:id="82" w:name="_Toc145066658"/>
      <w:r>
        <w:rPr>
          <w:rFonts w:hint="eastAsia"/>
        </w:rPr>
        <mc:AlternateContent>
          <mc:Choice Requires="wps">
            <w:drawing>
              <wp:anchor distT="0" distB="0" distL="114300" distR="114300" simplePos="0" relativeHeight="251663360" behindDoc="0" locked="0" layoutInCell="1" allowOverlap="1">
                <wp:simplePos x="0" y="0"/>
                <wp:positionH relativeFrom="column">
                  <wp:posOffset>2053590</wp:posOffset>
                </wp:positionH>
                <wp:positionV relativeFrom="paragraph">
                  <wp:posOffset>363855</wp:posOffset>
                </wp:positionV>
                <wp:extent cx="1266825" cy="0"/>
                <wp:effectExtent l="0" t="4445" r="0" b="5080"/>
                <wp:wrapNone/>
                <wp:docPr id="43" name="直接连接符 43"/>
                <wp:cNvGraphicFramePr/>
                <a:graphic xmlns:a="http://schemas.openxmlformats.org/drawingml/2006/main">
                  <a:graphicData uri="http://schemas.microsoft.com/office/word/2010/wordprocessingShape">
                    <wps:wsp>
                      <wps:cNvCnPr/>
                      <wps:spPr>
                        <a:xfrm>
                          <a:off x="0" y="0"/>
                          <a:ext cx="126682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61.7pt;margin-top:28.65pt;height:0pt;width:99.75pt;z-index:251663360;mso-width-relative:page;mso-height-relative:page;" filled="f" stroked="t" coordsize="21600,21600" o:gfxdata="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hfA501wAAAAkBAAAPAAAAAAAAAAEAIAAAACIAAABkcnMvZG93bnJldi54bWxQSwECFAAU&#10;AAAACACHTuJApN29I/IBAADoAwAADgAAAAAAAAABACAAAAAmAQAAZHJzL2Uyb0RvYy54bWxQSwUG&#10;AAAAAAYABgBZAQAAigUAAAAA&#10;">
                <v:fill on="f" focussize="0,0"/>
                <v:stroke color="#000000" joinstyle="round"/>
                <v:imagedata o:title=""/>
                <o:lock v:ext="edit" aspectratio="f"/>
              </v:line>
            </w:pict>
          </mc:Fallback>
        </mc:AlternateContent>
      </w:r>
      <w:bookmarkEnd w:id="82"/>
    </w:p>
    <w:p w14:paraId="379DA9C8"/>
    <w:sectPr>
      <w:pgSz w:w="11906" w:h="16838"/>
      <w:pgMar w:top="567" w:right="1134" w:bottom="1134" w:left="1418" w:header="1134" w:footer="907" w:gutter="0"/>
      <w:pgNumType w:start="1"/>
      <w:cols w:space="0" w:num="1"/>
      <w:formProt w:val="0"/>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4EF2E">
    <w:pPr>
      <w:pStyle w:val="26"/>
    </w:pPr>
    <w:r>
      <w:fldChar w:fldCharType="begin"/>
    </w:r>
    <w:r>
      <w:instrText xml:space="preserve"> PAGE  \* MERGEFORMAT </w:instrText>
    </w:r>
    <w:r>
      <w:fldChar w:fldCharType="separate"/>
    </w:r>
    <w:r>
      <w:t>II</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415F4D">
    <w:pPr>
      <w:pStyle w:val="2"/>
      <w:ind w:firstLine="360"/>
      <w:jc w:val="cente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3</w:t>
    </w:r>
    <w:r>
      <w:rPr>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B5A91">
    <w:pPr>
      <w:pStyle w:val="24"/>
      <w:jc w:val="right"/>
    </w:pPr>
    <w:r>
      <w:rPr>
        <w:rFonts w:hint="eastAsia"/>
      </w:rPr>
      <w:t>AQ</w:t>
    </w:r>
    <w:r>
      <w:t>/</w:t>
    </w:r>
    <w:r>
      <w:rPr>
        <w:rFonts w:hint="eastAsia"/>
      </w:rPr>
      <w:t xml:space="preserve">T </w:t>
    </w:r>
    <w:r>
      <w:t xml:space="preserve"> XXXX-</w:t>
    </w:r>
    <w:r>
      <w:rPr>
        <w:rFonts w:hint="eastAsia"/>
      </w:rPr>
      <w:t>20</w:t>
    </w:r>
    <w:r>
      <w:t xml:space="preserve">XX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00C705">
    <w:pPr>
      <w:pStyle w:val="25"/>
      <w:wordWrap w:val="0"/>
    </w:pPr>
    <w:r>
      <w:t>AQ</w:t>
    </w:r>
    <w:r>
      <w:rPr>
        <w:rFonts w:hint="eastAsia"/>
      </w:rPr>
      <w:t xml:space="preserve"> XXXX—</w:t>
    </w:r>
    <w:r>
      <w:t>20</w:t>
    </w:r>
    <w:r>
      <w:rPr>
        <w:rFonts w:hint="eastAsia"/>
      </w:rPr>
      <w:t>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0A15CD"/>
    <w:multiLevelType w:val="multilevel"/>
    <w:tmpl w:val="040A15CD"/>
    <w:lvl w:ilvl="0" w:tentative="0">
      <w:start w:val="1"/>
      <w:numFmt w:val="none"/>
      <w:suff w:val="nothing"/>
      <w:lvlText w:val="　"/>
      <w:lvlJc w:val="left"/>
      <w:pPr>
        <w:ind w:left="142" w:firstLine="0"/>
      </w:pPr>
      <w:rPr>
        <w:rFonts w:hint="eastAsia" w:ascii="黑体" w:hAnsi="Times New Roman" w:eastAsia="黑体"/>
        <w:b w:val="0"/>
        <w:i w:val="0"/>
        <w:sz w:val="21"/>
      </w:rPr>
    </w:lvl>
    <w:lvl w:ilvl="1" w:tentative="0">
      <w:start w:val="1"/>
      <w:numFmt w:val="decimal"/>
      <w:isLgl/>
      <w:suff w:val="nothing"/>
      <w:lvlText w:val="%2　"/>
      <w:lvlJc w:val="left"/>
      <w:pPr>
        <w:ind w:left="142"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142" w:firstLine="0"/>
      </w:pPr>
      <w:rPr>
        <w:rFonts w:hint="eastAsia" w:ascii="黑体" w:hAnsi="Times New Roman" w:eastAsia="黑体"/>
        <w:b w:val="0"/>
        <w:i w:val="0"/>
        <w:sz w:val="21"/>
      </w:rPr>
    </w:lvl>
    <w:lvl w:ilvl="3" w:tentative="0">
      <w:start w:val="1"/>
      <w:numFmt w:val="decimal"/>
      <w:suff w:val="nothing"/>
      <w:lvlText w:val="%1%2.%3.%4　"/>
      <w:lvlJc w:val="left"/>
      <w:pPr>
        <w:ind w:left="142" w:firstLine="0"/>
      </w:pPr>
      <w:rPr>
        <w:rFonts w:hint="eastAsia" w:ascii="黑体" w:hAnsi="Times New Roman" w:eastAsia="黑体"/>
        <w:b w:val="0"/>
        <w:i w:val="0"/>
        <w:sz w:val="21"/>
      </w:rPr>
    </w:lvl>
    <w:lvl w:ilvl="4" w:tentative="0">
      <w:start w:val="1"/>
      <w:numFmt w:val="decimal"/>
      <w:suff w:val="nothing"/>
      <w:lvlText w:val="%1%2.%3.%4.%5　"/>
      <w:lvlJc w:val="left"/>
      <w:pPr>
        <w:ind w:left="142" w:firstLine="0"/>
      </w:pPr>
      <w:rPr>
        <w:rFonts w:hint="eastAsia" w:ascii="黑体" w:hAnsi="Times New Roman" w:eastAsia="黑体"/>
        <w:b w:val="0"/>
        <w:i w:val="0"/>
        <w:sz w:val="21"/>
      </w:rPr>
    </w:lvl>
    <w:lvl w:ilvl="5" w:tentative="0">
      <w:start w:val="1"/>
      <w:numFmt w:val="decimal"/>
      <w:suff w:val="nothing"/>
      <w:lvlText w:val="%1%2.%3.%4.%5.%6　"/>
      <w:lvlJc w:val="left"/>
      <w:pPr>
        <w:ind w:left="142" w:firstLine="0"/>
      </w:pPr>
      <w:rPr>
        <w:rFonts w:hint="eastAsia" w:ascii="黑体" w:hAnsi="Times New Roman" w:eastAsia="黑体"/>
        <w:b w:val="0"/>
        <w:i w:val="0"/>
        <w:sz w:val="21"/>
      </w:rPr>
    </w:lvl>
    <w:lvl w:ilvl="6" w:tentative="0">
      <w:start w:val="1"/>
      <w:numFmt w:val="decimal"/>
      <w:suff w:val="nothing"/>
      <w:lvlText w:val="%1%2.%3.%4.%5.%6.%7　"/>
      <w:lvlJc w:val="left"/>
      <w:pPr>
        <w:ind w:left="142" w:firstLine="0"/>
      </w:pPr>
      <w:rPr>
        <w:rFonts w:hint="eastAsia" w:ascii="黑体" w:hAnsi="Times New Roman" w:eastAsia="黑体"/>
        <w:b w:val="0"/>
        <w:i w:val="0"/>
        <w:sz w:val="21"/>
      </w:rPr>
    </w:lvl>
    <w:lvl w:ilvl="7" w:tentative="0">
      <w:start w:val="1"/>
      <w:numFmt w:val="decimal"/>
      <w:lvlText w:val="%1.%2.%3.%4.%5.%6.%7.%8"/>
      <w:lvlJc w:val="left"/>
      <w:pPr>
        <w:tabs>
          <w:tab w:val="left" w:pos="4536"/>
        </w:tabs>
        <w:ind w:left="4536" w:hanging="1418"/>
      </w:pPr>
      <w:rPr>
        <w:rFonts w:hint="eastAsia"/>
      </w:rPr>
    </w:lvl>
    <w:lvl w:ilvl="8" w:tentative="0">
      <w:start w:val="1"/>
      <w:numFmt w:val="decimal"/>
      <w:lvlText w:val="%1.%2.%3.%4.%5.%6.%7.%8.%9"/>
      <w:lvlJc w:val="left"/>
      <w:pPr>
        <w:tabs>
          <w:tab w:val="left" w:pos="5244"/>
        </w:tabs>
        <w:ind w:left="5244" w:hanging="1700"/>
      </w:pPr>
      <w:rPr>
        <w:rFonts w:hint="eastAsia"/>
      </w:rPr>
    </w:lvl>
  </w:abstractNum>
  <w:abstractNum w:abstractNumId="1">
    <w:nsid w:val="0B016254"/>
    <w:multiLevelType w:val="multilevel"/>
    <w:tmpl w:val="0B016254"/>
    <w:lvl w:ilvl="0" w:tentative="0">
      <w:start w:val="1"/>
      <w:numFmt w:val="decimal"/>
      <w:lvlText w:val="%1"/>
      <w:lvlJc w:val="left"/>
      <w:pPr>
        <w:ind w:left="425" w:hanging="425"/>
      </w:pPr>
      <w:rPr>
        <w:rFonts w:hint="eastAsia"/>
        <w:sz w:val="21"/>
        <w:szCs w:val="21"/>
      </w:rPr>
    </w:lvl>
    <w:lvl w:ilvl="1" w:tentative="0">
      <w:start w:val="3"/>
      <w:numFmt w:val="decimal"/>
      <w:lvlText w:val="%1.%2"/>
      <w:lvlJc w:val="left"/>
      <w:pPr>
        <w:ind w:left="567" w:hanging="567"/>
      </w:pPr>
      <w:rPr>
        <w:rFonts w:hint="eastAsia" w:ascii="黑体" w:hAnsi="黑体" w:eastAsia="黑体"/>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37D35B34"/>
    <w:multiLevelType w:val="multilevel"/>
    <w:tmpl w:val="37D35B34"/>
    <w:lvl w:ilvl="0" w:tentative="0">
      <w:start w:val="5"/>
      <w:numFmt w:val="decimal"/>
      <w:lvlText w:val="%1"/>
      <w:lvlJc w:val="left"/>
      <w:pPr>
        <w:ind w:left="425" w:hanging="425"/>
      </w:pPr>
      <w:rPr>
        <w:rFonts w:hint="eastAsia"/>
        <w:sz w:val="21"/>
        <w:szCs w:val="21"/>
      </w:rPr>
    </w:lvl>
    <w:lvl w:ilvl="1" w:tentative="0">
      <w:start w:val="1"/>
      <w:numFmt w:val="decimal"/>
      <w:lvlText w:val="4.%2"/>
      <w:lvlJc w:val="left"/>
      <w:pPr>
        <w:ind w:left="567" w:hanging="567"/>
      </w:pPr>
      <w:rPr>
        <w:rFonts w:hint="eastAsia" w:ascii="黑体" w:hAnsi="黑体" w:eastAsia="黑体"/>
      </w:rPr>
    </w:lvl>
    <w:lvl w:ilvl="2" w:tentative="0">
      <w:start w:val="1"/>
      <w:numFmt w:val="decimal"/>
      <w:lvlText w:val="%1.%2.%3"/>
      <w:lvlJc w:val="left"/>
      <w:pPr>
        <w:ind w:left="1418" w:hanging="567"/>
      </w:pPr>
      <w:rPr>
        <w:rFonts w:hint="default" w:ascii="宋体" w:hAnsi="宋体" w:eastAsia="宋体" w:cs="宋体"/>
        <w:b w:val="0"/>
        <w:bCs w:val="0"/>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3">
    <w:nsid w:val="38137D3A"/>
    <w:multiLevelType w:val="multilevel"/>
    <w:tmpl w:val="38137D3A"/>
    <w:lvl w:ilvl="0" w:tentative="0">
      <w:start w:val="5"/>
      <w:numFmt w:val="decimal"/>
      <w:lvlText w:val="%1"/>
      <w:lvlJc w:val="left"/>
      <w:pPr>
        <w:ind w:left="425" w:hanging="425"/>
      </w:pPr>
      <w:rPr>
        <w:rFonts w:hint="eastAsia"/>
        <w:sz w:val="21"/>
        <w:szCs w:val="21"/>
      </w:rPr>
    </w:lvl>
    <w:lvl w:ilvl="1" w:tentative="0">
      <w:start w:val="1"/>
      <w:numFmt w:val="decimal"/>
      <w:lvlText w:val="6.%2"/>
      <w:lvlJc w:val="left"/>
      <w:pPr>
        <w:ind w:left="567" w:hanging="567"/>
      </w:pPr>
      <w:rPr>
        <w:rFonts w:hint="eastAsia" w:ascii="黑体" w:hAnsi="黑体" w:eastAsia="黑体"/>
      </w:rPr>
    </w:lvl>
    <w:lvl w:ilvl="2" w:tentative="0">
      <w:start w:val="1"/>
      <w:numFmt w:val="decimal"/>
      <w:lvlText w:val="%1.%2.%3"/>
      <w:lvlJc w:val="left"/>
      <w:pPr>
        <w:ind w:left="1418" w:hanging="567"/>
      </w:pPr>
      <w:rPr>
        <w:rFonts w:hint="default" w:ascii="宋体" w:hAnsi="宋体" w:eastAsia="宋体" w:cs="宋体"/>
        <w:b w:val="0"/>
        <w:bCs w:val="0"/>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657D3FBC"/>
    <w:multiLevelType w:val="multilevel"/>
    <w:tmpl w:val="657D3FBC"/>
    <w:lvl w:ilvl="0" w:tentative="0">
      <w:start w:val="1"/>
      <w:numFmt w:val="upperLetter"/>
      <w:pStyle w:val="23"/>
      <w:suff w:val="nothing"/>
      <w:lvlText w:val="附　录　%1"/>
      <w:lvlJc w:val="left"/>
      <w:pPr>
        <w:ind w:left="3969" w:firstLine="0"/>
      </w:pPr>
      <w:rPr>
        <w:rFonts w:hint="eastAsia" w:ascii="黑体" w:hAnsi="Times New Roman" w:eastAsia="黑体"/>
        <w:b/>
        <w:i w:val="0"/>
        <w:spacing w:val="0"/>
        <w:w w:val="100"/>
        <w:sz w:val="21"/>
      </w:rPr>
    </w:lvl>
    <w:lvl w:ilvl="1" w:tentative="0">
      <w:start w:val="1"/>
      <w:numFmt w:val="decimal"/>
      <w:suff w:val="nothing"/>
      <w:lvlText w:val="%1.%2　"/>
      <w:lvlJc w:val="left"/>
      <w:pPr>
        <w:ind w:left="-1276"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2835" w:firstLine="0"/>
      </w:pPr>
      <w:rPr>
        <w:rFonts w:hint="eastAsia" w:ascii="黑体" w:hAnsi="Times New Roman" w:eastAsia="黑体"/>
        <w:b w:val="0"/>
        <w:i w:val="0"/>
        <w:sz w:val="21"/>
      </w:rPr>
    </w:lvl>
    <w:lvl w:ilvl="3" w:tentative="0">
      <w:start w:val="1"/>
      <w:numFmt w:val="decimal"/>
      <w:suff w:val="nothing"/>
      <w:lvlText w:val="%1.%2.%3.%4　"/>
      <w:lvlJc w:val="left"/>
      <w:pPr>
        <w:ind w:left="-2835" w:firstLine="0"/>
      </w:pPr>
      <w:rPr>
        <w:rFonts w:hint="eastAsia" w:ascii="黑体" w:hAnsi="Times New Roman" w:eastAsia="黑体"/>
        <w:b w:val="0"/>
        <w:i w:val="0"/>
        <w:sz w:val="21"/>
      </w:rPr>
    </w:lvl>
    <w:lvl w:ilvl="4" w:tentative="0">
      <w:start w:val="1"/>
      <w:numFmt w:val="decimal"/>
      <w:suff w:val="nothing"/>
      <w:lvlText w:val="%1.%2.%3.%4.%5　"/>
      <w:lvlJc w:val="left"/>
      <w:pPr>
        <w:ind w:left="-2835" w:firstLine="0"/>
      </w:pPr>
      <w:rPr>
        <w:rFonts w:hint="eastAsia" w:ascii="黑体" w:hAnsi="Times New Roman" w:eastAsia="黑体"/>
        <w:b w:val="0"/>
        <w:i w:val="0"/>
        <w:sz w:val="21"/>
      </w:rPr>
    </w:lvl>
    <w:lvl w:ilvl="5" w:tentative="0">
      <w:start w:val="1"/>
      <w:numFmt w:val="decimal"/>
      <w:suff w:val="nothing"/>
      <w:lvlText w:val="%1.%2.%3.%4.%5.%6　"/>
      <w:lvlJc w:val="left"/>
      <w:pPr>
        <w:ind w:left="-2835" w:firstLine="0"/>
      </w:pPr>
      <w:rPr>
        <w:rFonts w:hint="eastAsia" w:ascii="黑体" w:hAnsi="Times New Roman" w:eastAsia="黑体"/>
        <w:b w:val="0"/>
        <w:i w:val="0"/>
        <w:sz w:val="21"/>
      </w:rPr>
    </w:lvl>
    <w:lvl w:ilvl="6" w:tentative="0">
      <w:start w:val="1"/>
      <w:numFmt w:val="decimal"/>
      <w:suff w:val="nothing"/>
      <w:lvlText w:val="%1.%2.%3.%4.%5.%6.%7　"/>
      <w:lvlJc w:val="left"/>
      <w:pPr>
        <w:ind w:left="-2835" w:firstLine="0"/>
      </w:pPr>
      <w:rPr>
        <w:rFonts w:hint="eastAsia" w:ascii="黑体" w:hAnsi="Times New Roman" w:eastAsia="黑体"/>
        <w:b w:val="0"/>
        <w:i w:val="0"/>
        <w:sz w:val="21"/>
      </w:rPr>
    </w:lvl>
    <w:lvl w:ilvl="7" w:tentative="0">
      <w:start w:val="1"/>
      <w:numFmt w:val="decimal"/>
      <w:lvlText w:val="%1.%2.%3.%4.%5.%6.%7.%8"/>
      <w:lvlJc w:val="left"/>
      <w:pPr>
        <w:tabs>
          <w:tab w:val="left" w:pos="1559"/>
        </w:tabs>
        <w:ind w:left="1559" w:hanging="1418"/>
      </w:pPr>
      <w:rPr>
        <w:rFonts w:hint="eastAsia"/>
      </w:rPr>
    </w:lvl>
    <w:lvl w:ilvl="8" w:tentative="0">
      <w:start w:val="1"/>
      <w:numFmt w:val="decimal"/>
      <w:lvlText w:val="%1.%2.%3.%4.%5.%6.%7.%8.%9"/>
      <w:lvlJc w:val="left"/>
      <w:pPr>
        <w:tabs>
          <w:tab w:val="left" w:pos="2267"/>
        </w:tabs>
        <w:ind w:left="2267" w:hanging="1700"/>
      </w:pPr>
      <w:rPr>
        <w:rFonts w:hint="eastAsia"/>
      </w:rPr>
    </w:lvl>
  </w:abstractNum>
  <w:abstractNum w:abstractNumId="5">
    <w:nsid w:val="6FAF4F9A"/>
    <w:multiLevelType w:val="multilevel"/>
    <w:tmpl w:val="6FAF4F9A"/>
    <w:lvl w:ilvl="0" w:tentative="0">
      <w:start w:val="5"/>
      <w:numFmt w:val="decimal"/>
      <w:lvlText w:val="%1"/>
      <w:lvlJc w:val="left"/>
      <w:pPr>
        <w:ind w:left="425" w:hanging="425"/>
      </w:pPr>
      <w:rPr>
        <w:rFonts w:hint="eastAsia"/>
        <w:sz w:val="21"/>
        <w:szCs w:val="21"/>
      </w:rPr>
    </w:lvl>
    <w:lvl w:ilvl="1" w:tentative="0">
      <w:start w:val="1"/>
      <w:numFmt w:val="decimal"/>
      <w:lvlText w:val="5.%2"/>
      <w:lvlJc w:val="left"/>
      <w:pPr>
        <w:ind w:left="567" w:hanging="567"/>
      </w:pPr>
      <w:rPr>
        <w:rFonts w:hint="eastAsia" w:ascii="黑体" w:hAnsi="黑体" w:eastAsia="黑体"/>
      </w:rPr>
    </w:lvl>
    <w:lvl w:ilvl="2" w:tentative="0">
      <w:start w:val="1"/>
      <w:numFmt w:val="decimal"/>
      <w:lvlText w:val="%1.%2.%3"/>
      <w:lvlJc w:val="left"/>
      <w:pPr>
        <w:ind w:left="1418" w:hanging="567"/>
      </w:pPr>
      <w:rPr>
        <w:rFonts w:hint="default" w:ascii="宋体" w:hAnsi="宋体" w:eastAsia="宋体" w:cs="宋体"/>
        <w:b w:val="0"/>
        <w:bCs w:val="0"/>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4"/>
  </w:num>
  <w:num w:numId="2">
    <w:abstractNumId w:val="0"/>
  </w:num>
  <w:num w:numId="3">
    <w:abstractNumId w:val="1"/>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A5068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99"/>
    <w:pPr>
      <w:snapToGrid w:val="0"/>
      <w:ind w:right="210" w:rightChars="100"/>
      <w:jc w:val="right"/>
    </w:pPr>
    <w:rPr>
      <w:sz w:val="18"/>
      <w:szCs w:val="18"/>
    </w:rPr>
  </w:style>
  <w:style w:type="paragraph" w:styleId="3">
    <w:name w:val="toc 1"/>
    <w:basedOn w:val="1"/>
    <w:next w:val="1"/>
    <w:qFormat/>
    <w:uiPriority w:val="39"/>
    <w:pPr>
      <w:spacing w:before="120" w:after="120"/>
      <w:jc w:val="left"/>
    </w:pPr>
    <w:rPr>
      <w:rFonts w:ascii="Calibri" w:hAnsi="Calibri" w:cs="Calibri"/>
      <w:b/>
      <w:bCs/>
      <w:caps/>
      <w:sz w:val="20"/>
      <w:szCs w:val="20"/>
    </w:rPr>
  </w:style>
  <w:style w:type="paragraph" w:customStyle="1" w:styleId="6">
    <w:name w:val="文献分类号"/>
    <w:qFormat/>
    <w:uiPriority w:val="0"/>
    <w:pPr>
      <w:framePr w:hSpace="180" w:vSpace="180" w:wrap="around" w:vAnchor="margin" w:hAnchor="margin" w:y="1" w:anchorLock="1"/>
      <w:widowControl w:val="0"/>
      <w:spacing w:after="160" w:line="278" w:lineRule="auto"/>
      <w:textAlignment w:val="center"/>
    </w:pPr>
    <w:rPr>
      <w:rFonts w:ascii="黑体" w:hAnsi="Times New Roman" w:eastAsia="黑体" w:cs="Times New Roman"/>
      <w:sz w:val="21"/>
      <w:szCs w:val="21"/>
      <w:lang w:val="en-US" w:eastAsia="zh-CN" w:bidi="ar-SA"/>
    </w:rPr>
  </w:style>
  <w:style w:type="paragraph" w:customStyle="1" w:styleId="7">
    <w:name w:val="其他标准标志"/>
    <w:basedOn w:val="8"/>
    <w:qFormat/>
    <w:uiPriority w:val="0"/>
    <w:pPr>
      <w:framePr w:w="6101" w:vAnchor="page" w:hAnchor="page" w:x="4673" w:y="942"/>
    </w:pPr>
    <w:rPr>
      <w:w w:val="130"/>
    </w:rPr>
  </w:style>
  <w:style w:type="paragraph" w:customStyle="1" w:styleId="8">
    <w:name w:val="标准标志"/>
    <w:next w:val="1"/>
    <w:qFormat/>
    <w:uiPriority w:val="0"/>
    <w:pPr>
      <w:framePr w:w="2546" w:h="1389" w:hRule="exact" w:hSpace="181" w:vSpace="181" w:wrap="around" w:vAnchor="margin" w:hAnchor="margin" w:x="6522" w:y="398" w:anchorLock="1"/>
      <w:shd w:val="solid" w:color="FFFFFF" w:fill="FFFFFF"/>
      <w:spacing w:after="160" w:line="0" w:lineRule="atLeast"/>
      <w:jc w:val="right"/>
    </w:pPr>
    <w:rPr>
      <w:rFonts w:ascii="Times New Roman" w:hAnsi="Times New Roman" w:eastAsia="宋体" w:cs="Times New Roman"/>
      <w:b/>
      <w:w w:val="170"/>
      <w:sz w:val="96"/>
      <w:szCs w:val="96"/>
      <w:lang w:val="en-US" w:eastAsia="zh-CN" w:bidi="ar-SA"/>
    </w:rPr>
  </w:style>
  <w:style w:type="paragraph" w:customStyle="1" w:styleId="9">
    <w:name w:val="其他标准称谓"/>
    <w:next w:val="1"/>
    <w:qFormat/>
    <w:uiPriority w:val="0"/>
    <w:pPr>
      <w:framePr w:hSpace="181" w:vSpace="181" w:wrap="around" w:vAnchor="page" w:hAnchor="page" w:x="1419" w:y="2286" w:anchorLock="1"/>
      <w:spacing w:after="160" w:line="0" w:lineRule="atLeast"/>
      <w:jc w:val="distribute"/>
    </w:pPr>
    <w:rPr>
      <w:rFonts w:ascii="黑体" w:hAnsi="宋体" w:eastAsia="黑体" w:cs="Times New Roman"/>
      <w:spacing w:val="-40"/>
      <w:sz w:val="48"/>
      <w:szCs w:val="52"/>
      <w:lang w:val="en-US" w:eastAsia="zh-CN" w:bidi="ar-SA"/>
    </w:rPr>
  </w:style>
  <w:style w:type="paragraph" w:customStyle="1" w:styleId="10">
    <w:name w:val="封面标准号2"/>
    <w:qFormat/>
    <w:uiPriority w:val="0"/>
    <w:pPr>
      <w:framePr w:w="9140" w:h="1242" w:hRule="exact" w:hSpace="284" w:wrap="around" w:vAnchor="page" w:hAnchor="page" w:x="1645" w:y="2910" w:anchorLock="1"/>
      <w:spacing w:before="357" w:after="160" w:line="280" w:lineRule="exact"/>
      <w:jc w:val="right"/>
    </w:pPr>
    <w:rPr>
      <w:rFonts w:ascii="黑体" w:hAnsi="Times New Roman" w:eastAsia="黑体" w:cs="Times New Roman"/>
      <w:sz w:val="28"/>
      <w:szCs w:val="28"/>
      <w:lang w:val="en-US" w:eastAsia="zh-CN" w:bidi="ar-SA"/>
    </w:rPr>
  </w:style>
  <w:style w:type="paragraph" w:customStyle="1" w:styleId="11">
    <w:name w:val="封面标准名称"/>
    <w:qFormat/>
    <w:uiPriority w:val="0"/>
    <w:pPr>
      <w:framePr w:w="9639" w:h="6917" w:hRule="exact" w:wrap="around" w:vAnchor="page" w:hAnchor="page" w:xAlign="center" w:y="6408" w:anchorLock="1"/>
      <w:widowControl w:val="0"/>
      <w:spacing w:after="160" w:line="680" w:lineRule="exact"/>
      <w:jc w:val="center"/>
      <w:textAlignment w:val="center"/>
    </w:pPr>
    <w:rPr>
      <w:rFonts w:ascii="黑体" w:hAnsi="Times New Roman" w:eastAsia="黑体" w:cs="Times New Roman"/>
      <w:sz w:val="52"/>
      <w:lang w:val="en-US" w:eastAsia="zh-CN" w:bidi="ar-SA"/>
    </w:rPr>
  </w:style>
  <w:style w:type="paragraph" w:customStyle="1" w:styleId="12">
    <w:name w:val="封面标准文稿类别"/>
    <w:basedOn w:val="13"/>
    <w:qFormat/>
    <w:uiPriority w:val="0"/>
    <w:pPr>
      <w:spacing w:line="240" w:lineRule="auto"/>
    </w:pPr>
    <w:rPr>
      <w:sz w:val="24"/>
    </w:rPr>
  </w:style>
  <w:style w:type="paragraph" w:customStyle="1" w:styleId="13">
    <w:name w:val="封面一致性程度标识"/>
    <w:basedOn w:val="14"/>
    <w:qFormat/>
    <w:uiPriority w:val="0"/>
    <w:pPr>
      <w:spacing w:before="440"/>
    </w:pPr>
    <w:rPr>
      <w:rFonts w:ascii="宋体" w:eastAsia="宋体"/>
    </w:rPr>
  </w:style>
  <w:style w:type="paragraph" w:customStyle="1" w:styleId="14">
    <w:name w:val="封面标准英文名称"/>
    <w:basedOn w:val="11"/>
    <w:qFormat/>
    <w:uiPriority w:val="0"/>
    <w:pPr>
      <w:spacing w:before="370" w:line="400" w:lineRule="exact"/>
    </w:pPr>
    <w:rPr>
      <w:rFonts w:ascii="Times New Roman"/>
      <w:sz w:val="28"/>
      <w:szCs w:val="28"/>
    </w:rPr>
  </w:style>
  <w:style w:type="paragraph" w:customStyle="1" w:styleId="15">
    <w:name w:val="封面标准文稿编辑信息"/>
    <w:basedOn w:val="12"/>
    <w:qFormat/>
    <w:uiPriority w:val="0"/>
    <w:pPr>
      <w:spacing w:before="180" w:line="180" w:lineRule="exact"/>
    </w:pPr>
    <w:rPr>
      <w:sz w:val="21"/>
    </w:rPr>
  </w:style>
  <w:style w:type="paragraph" w:customStyle="1" w:styleId="16">
    <w:name w:val="其他发布日期"/>
    <w:basedOn w:val="17"/>
    <w:qFormat/>
    <w:uiPriority w:val="0"/>
    <w:pPr>
      <w:framePr w:vAnchor="page" w:hAnchor="text" w:x="1419"/>
    </w:pPr>
  </w:style>
  <w:style w:type="paragraph" w:customStyle="1" w:styleId="17">
    <w:name w:val="发布日期"/>
    <w:qFormat/>
    <w:uiPriority w:val="0"/>
    <w:pPr>
      <w:framePr w:w="3997" w:h="471" w:hRule="exact" w:vSpace="181" w:wrap="around" w:vAnchor="margin" w:hAnchor="page" w:x="7089" w:y="14097" w:anchorLock="1"/>
      <w:spacing w:after="160" w:line="278" w:lineRule="auto"/>
    </w:pPr>
    <w:rPr>
      <w:rFonts w:ascii="Times New Roman" w:hAnsi="Times New Roman" w:eastAsia="黑体" w:cs="Times New Roman"/>
      <w:sz w:val="28"/>
      <w:lang w:val="en-US" w:eastAsia="zh-CN" w:bidi="ar-SA"/>
    </w:rPr>
  </w:style>
  <w:style w:type="paragraph" w:customStyle="1" w:styleId="18">
    <w:name w:val="其他实施日期"/>
    <w:basedOn w:val="19"/>
    <w:qFormat/>
    <w:uiPriority w:val="0"/>
  </w:style>
  <w:style w:type="paragraph" w:customStyle="1" w:styleId="19">
    <w:name w:val="实施日期"/>
    <w:basedOn w:val="17"/>
    <w:qFormat/>
    <w:uiPriority w:val="0"/>
    <w:pPr>
      <w:framePr w:vAnchor="page" w:hAnchor="text"/>
      <w:jc w:val="right"/>
    </w:pPr>
  </w:style>
  <w:style w:type="paragraph" w:customStyle="1" w:styleId="20">
    <w:name w:val="段"/>
    <w:qFormat/>
    <w:uiPriority w:val="0"/>
    <w:pPr>
      <w:tabs>
        <w:tab w:val="center" w:pos="4201"/>
        <w:tab w:val="right" w:leader="dot" w:pos="9298"/>
      </w:tabs>
      <w:autoSpaceDE w:val="0"/>
      <w:autoSpaceDN w:val="0"/>
      <w:spacing w:after="160" w:line="278" w:lineRule="auto"/>
      <w:ind w:firstLine="420" w:firstLineChars="200"/>
      <w:jc w:val="both"/>
    </w:pPr>
    <w:rPr>
      <w:rFonts w:ascii="宋体" w:hAnsi="Times New Roman" w:eastAsia="宋体" w:cs="Times New Roman"/>
      <w:sz w:val="21"/>
      <w:lang w:val="en-US" w:eastAsia="zh-CN" w:bidi="ar-SA"/>
    </w:rPr>
  </w:style>
  <w:style w:type="paragraph" w:customStyle="1" w:styleId="21">
    <w:name w:val="目次、标准名称标题"/>
    <w:basedOn w:val="1"/>
    <w:next w:val="20"/>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22">
    <w:name w:val="章标题"/>
    <w:next w:val="1"/>
    <w:qFormat/>
    <w:uiPriority w:val="0"/>
    <w:pPr>
      <w:spacing w:before="312" w:beforeLines="100" w:after="312" w:afterLines="100" w:line="278" w:lineRule="auto"/>
      <w:jc w:val="both"/>
      <w:outlineLvl w:val="1"/>
    </w:pPr>
    <w:rPr>
      <w:rFonts w:ascii="黑体" w:hAnsi="Times New Roman" w:eastAsia="黑体" w:cs="Times New Roman"/>
      <w:sz w:val="21"/>
      <w:lang w:val="en-US" w:eastAsia="zh-CN" w:bidi="ar-SA"/>
    </w:rPr>
  </w:style>
  <w:style w:type="paragraph" w:customStyle="1" w:styleId="23">
    <w:name w:val="附录标识"/>
    <w:basedOn w:val="1"/>
    <w:next w:val="20"/>
    <w:qFormat/>
    <w:uiPriority w:val="0"/>
    <w:pPr>
      <w:keepNext/>
      <w:widowControl/>
      <w:numPr>
        <w:ilvl w:val="0"/>
        <w:numId w:val="1"/>
      </w:numPr>
      <w:shd w:val="clear" w:color="FFFFFF" w:fill="FFFFFF"/>
      <w:tabs>
        <w:tab w:val="left" w:pos="6405"/>
      </w:tabs>
      <w:spacing w:before="640" w:after="280"/>
      <w:jc w:val="center"/>
      <w:outlineLvl w:val="0"/>
    </w:pPr>
    <w:rPr>
      <w:rFonts w:ascii="黑体" w:eastAsia="黑体"/>
      <w:kern w:val="0"/>
      <w:szCs w:val="20"/>
    </w:rPr>
  </w:style>
  <w:style w:type="paragraph" w:customStyle="1" w:styleId="24">
    <w:name w:val="标准书眉_偶数页"/>
    <w:basedOn w:val="25"/>
    <w:next w:val="1"/>
    <w:qFormat/>
    <w:uiPriority w:val="0"/>
    <w:pPr>
      <w:tabs>
        <w:tab w:val="center" w:pos="4154"/>
        <w:tab w:val="right" w:pos="8306"/>
      </w:tabs>
      <w:jc w:val="left"/>
    </w:pPr>
  </w:style>
  <w:style w:type="paragraph" w:customStyle="1" w:styleId="25">
    <w:name w:val="标准书眉_奇数页"/>
    <w:next w:val="1"/>
    <w:qFormat/>
    <w:uiPriority w:val="0"/>
    <w:pPr>
      <w:tabs>
        <w:tab w:val="center" w:pos="4154"/>
        <w:tab w:val="right" w:pos="8306"/>
      </w:tabs>
      <w:spacing w:after="220" w:line="278" w:lineRule="auto"/>
      <w:jc w:val="right"/>
    </w:pPr>
    <w:rPr>
      <w:rFonts w:ascii="黑体" w:hAnsi="Times New Roman" w:eastAsia="黑体" w:cs="Times New Roman"/>
      <w:sz w:val="21"/>
      <w:szCs w:val="21"/>
      <w:lang w:val="en-US" w:eastAsia="zh-CN" w:bidi="ar-SA"/>
    </w:rPr>
  </w:style>
  <w:style w:type="paragraph" w:customStyle="1" w:styleId="26">
    <w:name w:val="标准书脚_偶数页"/>
    <w:qFormat/>
    <w:uiPriority w:val="0"/>
    <w:pPr>
      <w:spacing w:before="120" w:after="160" w:line="278" w:lineRule="auto"/>
      <w:ind w:left="221"/>
    </w:pPr>
    <w:rPr>
      <w:rFonts w:ascii="宋体" w:hAnsi="Times New Roman" w:eastAsia="宋体" w:cs="Times New Roman"/>
      <w:sz w:val="18"/>
      <w:szCs w:val="1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1</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2026-04-13T11:20:58Z</dcterms:created>
  <dc:creator>admin</dc:creator>
  <cp:lastModifiedBy>中国烟花爆竹协会</cp:lastModifiedBy>
  <dcterms:modified xsi:type="dcterms:W3CDTF">2026-04-13T11:23:07Z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eyJoZGlkIjoiYjRhZTRjNzIzYjM5MzVlMGQzMzc4YmQzZWJhYmQxNjQiLCJ1c2VySWQiOiIyNzY4MTYyNjkifQ==</vt:lpwstr>
  </property>
  <property fmtid="{D5CDD505-2E9C-101B-9397-08002B2CF9AE}" pid="4" name="ICV">
    <vt:lpwstr>4D4610859D3140D6836EC0F22BF3DC33_12</vt:lpwstr>
  </property>
</Properties>
</file>