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25136">
      <w:pPr>
        <w:spacing w:line="520" w:lineRule="exact"/>
        <w:jc w:val="center"/>
        <w:rPr>
          <w:rFonts w:ascii="黑体" w:eastAsia="黑体"/>
          <w:b/>
          <w:bCs/>
          <w:color w:val="FF0000"/>
          <w:sz w:val="44"/>
          <w:szCs w:val="44"/>
        </w:rPr>
      </w:pPr>
    </w:p>
    <w:p w14:paraId="0B97728E">
      <w:pPr>
        <w:spacing w:line="520" w:lineRule="exact"/>
        <w:jc w:val="center"/>
        <w:rPr>
          <w:rFonts w:ascii="黑体" w:eastAsia="黑体"/>
          <w:b/>
          <w:bCs/>
          <w:sz w:val="52"/>
          <w:szCs w:val="52"/>
        </w:rPr>
      </w:pPr>
    </w:p>
    <w:p w14:paraId="0BA6326C">
      <w:pPr>
        <w:spacing w:line="520" w:lineRule="exact"/>
        <w:jc w:val="center"/>
        <w:rPr>
          <w:rFonts w:ascii="黑体" w:eastAsia="黑体"/>
          <w:b/>
          <w:bCs/>
          <w:sz w:val="52"/>
          <w:szCs w:val="52"/>
        </w:rPr>
      </w:pPr>
    </w:p>
    <w:p w14:paraId="0230BA1F">
      <w:pPr>
        <w:spacing w:line="520" w:lineRule="exact"/>
        <w:jc w:val="center"/>
        <w:rPr>
          <w:rFonts w:ascii="黑体" w:eastAsia="黑体"/>
          <w:b/>
          <w:bCs/>
          <w:sz w:val="52"/>
          <w:szCs w:val="52"/>
        </w:rPr>
      </w:pPr>
    </w:p>
    <w:p w14:paraId="448A00FD">
      <w:pPr>
        <w:spacing w:line="520" w:lineRule="exact"/>
        <w:jc w:val="center"/>
        <w:rPr>
          <w:rFonts w:ascii="黑体" w:eastAsia="黑体"/>
          <w:b/>
          <w:bCs/>
          <w:sz w:val="52"/>
          <w:szCs w:val="52"/>
        </w:rPr>
      </w:pPr>
    </w:p>
    <w:p w14:paraId="68A44B2C">
      <w:pPr>
        <w:spacing w:line="520" w:lineRule="exact"/>
        <w:jc w:val="center"/>
        <w:rPr>
          <w:sz w:val="32"/>
          <w:szCs w:val="32"/>
        </w:rPr>
      </w:pPr>
    </w:p>
    <w:p w14:paraId="1449B2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b/>
          <w:bCs/>
          <w:sz w:val="44"/>
          <w:szCs w:val="44"/>
        </w:rPr>
      </w:pPr>
      <w:r>
        <w:rPr>
          <w:rFonts w:hint="eastAsia" w:ascii="方正小标宋_GBK" w:hAnsi="方正小标宋_GBK" w:eastAsia="方正小标宋_GBK" w:cs="方正小标宋_GBK"/>
          <w:b/>
          <w:bCs/>
          <w:sz w:val="44"/>
          <w:szCs w:val="44"/>
        </w:rPr>
        <w:t>《烟花爆竹重大生产安全事故隐患判定</w:t>
      </w:r>
      <w:r>
        <w:rPr>
          <w:rFonts w:hint="eastAsia" w:ascii="方正小标宋_GBK" w:hAnsi="方正小标宋_GBK" w:eastAsia="方正小标宋_GBK" w:cs="方正小标宋_GBK"/>
          <w:b/>
          <w:bCs/>
          <w:sz w:val="44"/>
          <w:szCs w:val="44"/>
          <w:lang w:eastAsia="zh-CN"/>
        </w:rPr>
        <w:t>准则</w:t>
      </w:r>
      <w:r>
        <w:rPr>
          <w:rFonts w:hint="eastAsia" w:ascii="方正小标宋_GBK" w:hAnsi="方正小标宋_GBK" w:eastAsia="方正小标宋_GBK" w:cs="方正小标宋_GBK"/>
          <w:b/>
          <w:bCs/>
          <w:sz w:val="44"/>
          <w:szCs w:val="44"/>
        </w:rPr>
        <w:t>》</w:t>
      </w:r>
    </w:p>
    <w:p w14:paraId="511AE1EF">
      <w:pPr>
        <w:spacing w:line="560" w:lineRule="exact"/>
        <w:jc w:val="center"/>
        <w:rPr>
          <w:rFonts w:ascii="黑体" w:hAnsi="黑体" w:eastAsia="黑体"/>
          <w:b/>
          <w:bCs/>
          <w:sz w:val="52"/>
          <w:szCs w:val="52"/>
        </w:rPr>
      </w:pPr>
    </w:p>
    <w:p w14:paraId="170D0482">
      <w:pPr>
        <w:spacing w:line="560" w:lineRule="exact"/>
        <w:jc w:val="center"/>
        <w:rPr>
          <w:rFonts w:hint="eastAsia" w:ascii="方正仿宋_GBK" w:hAnsi="方正仿宋_GBK" w:eastAsia="方正仿宋_GBK" w:cs="方正仿宋_GBK"/>
          <w:b w:val="0"/>
          <w:bCs w:val="0"/>
          <w:sz w:val="36"/>
          <w:szCs w:val="36"/>
        </w:rPr>
      </w:pPr>
      <w:r>
        <w:rPr>
          <w:rFonts w:hint="eastAsia" w:ascii="方正仿宋_GBK" w:hAnsi="方正仿宋_GBK" w:eastAsia="方正仿宋_GBK" w:cs="方正仿宋_GBK"/>
          <w:b w:val="0"/>
          <w:bCs w:val="0"/>
          <w:sz w:val="36"/>
          <w:szCs w:val="36"/>
        </w:rPr>
        <w:t>(</w:t>
      </w:r>
      <w:r>
        <w:rPr>
          <w:rFonts w:hint="eastAsia" w:ascii="方正仿宋_GBK" w:hAnsi="方正仿宋_GBK" w:eastAsia="方正仿宋_GBK" w:cs="方正仿宋_GBK"/>
          <w:b w:val="0"/>
          <w:bCs w:val="0"/>
          <w:sz w:val="36"/>
          <w:szCs w:val="36"/>
          <w:lang w:eastAsia="zh-CN"/>
        </w:rPr>
        <w:t>☑</w:t>
      </w:r>
      <w:r>
        <w:rPr>
          <w:rFonts w:hint="eastAsia" w:ascii="方正仿宋_GBK" w:hAnsi="方正仿宋_GBK" w:eastAsia="方正仿宋_GBK" w:cs="方正仿宋_GBK"/>
          <w:b w:val="0"/>
          <w:bCs w:val="0"/>
          <w:sz w:val="36"/>
          <w:szCs w:val="36"/>
          <w:lang w:val="en-US" w:eastAsia="zh-CN"/>
        </w:rPr>
        <w:t>征求意见</w:t>
      </w:r>
      <w:r>
        <w:rPr>
          <w:rFonts w:hint="eastAsia" w:ascii="方正仿宋_GBK" w:hAnsi="方正仿宋_GBK" w:eastAsia="方正仿宋_GBK" w:cs="方正仿宋_GBK"/>
          <w:b w:val="0"/>
          <w:bCs w:val="0"/>
          <w:sz w:val="36"/>
          <w:szCs w:val="36"/>
        </w:rPr>
        <w:t>稿□</w:t>
      </w:r>
      <w:r>
        <w:rPr>
          <w:rFonts w:hint="eastAsia" w:ascii="方正仿宋_GBK" w:hAnsi="方正仿宋_GBK" w:eastAsia="方正仿宋_GBK" w:cs="方正仿宋_GBK"/>
          <w:b w:val="0"/>
          <w:bCs w:val="0"/>
          <w:sz w:val="36"/>
          <w:szCs w:val="36"/>
          <w:lang w:eastAsia="zh-CN"/>
        </w:rPr>
        <w:t>送审稿</w:t>
      </w:r>
      <w:r>
        <w:rPr>
          <w:rFonts w:hint="eastAsia" w:ascii="方正仿宋_GBK" w:hAnsi="方正仿宋_GBK" w:eastAsia="方正仿宋_GBK" w:cs="方正仿宋_GBK"/>
          <w:b w:val="0"/>
          <w:bCs w:val="0"/>
          <w:sz w:val="36"/>
          <w:szCs w:val="36"/>
        </w:rPr>
        <w:t>□</w:t>
      </w:r>
      <w:r>
        <w:rPr>
          <w:rFonts w:hint="eastAsia" w:ascii="方正仿宋_GBK" w:hAnsi="方正仿宋_GBK" w:eastAsia="方正仿宋_GBK" w:cs="方正仿宋_GBK"/>
          <w:b w:val="0"/>
          <w:bCs w:val="0"/>
          <w:sz w:val="36"/>
          <w:szCs w:val="36"/>
          <w:lang w:eastAsia="zh-CN"/>
        </w:rPr>
        <w:t>报批稿</w:t>
      </w:r>
      <w:r>
        <w:rPr>
          <w:rFonts w:hint="eastAsia" w:ascii="方正仿宋_GBK" w:hAnsi="方正仿宋_GBK" w:eastAsia="方正仿宋_GBK" w:cs="方正仿宋_GBK"/>
          <w:b w:val="0"/>
          <w:bCs w:val="0"/>
          <w:sz w:val="36"/>
          <w:szCs w:val="36"/>
        </w:rPr>
        <w:t>)</w:t>
      </w:r>
    </w:p>
    <w:p w14:paraId="452120E4">
      <w:pPr>
        <w:spacing w:line="520" w:lineRule="exact"/>
        <w:jc w:val="center"/>
        <w:rPr>
          <w:rFonts w:hint="eastAsia" w:ascii="宋体" w:hAnsi="宋体"/>
          <w:b/>
          <w:bCs/>
          <w:sz w:val="44"/>
          <w:szCs w:val="44"/>
        </w:rPr>
      </w:pPr>
    </w:p>
    <w:p w14:paraId="65A8002B">
      <w:pPr>
        <w:spacing w:line="520" w:lineRule="exact"/>
        <w:jc w:val="center"/>
        <w:rPr>
          <w:sz w:val="32"/>
          <w:szCs w:val="32"/>
        </w:rPr>
      </w:pPr>
    </w:p>
    <w:p w14:paraId="1FF9A9A1">
      <w:pPr>
        <w:spacing w:line="520" w:lineRule="exact"/>
        <w:jc w:val="center"/>
        <w:rPr>
          <w:rFonts w:hint="eastAsia" w:ascii="方正黑体_GBK" w:hAnsi="方正黑体_GBK" w:eastAsia="方正黑体_GBK" w:cs="方正黑体_GBK"/>
          <w:b/>
          <w:bCs w:val="0"/>
          <w:sz w:val="44"/>
          <w:szCs w:val="44"/>
        </w:rPr>
      </w:pPr>
      <w:r>
        <w:rPr>
          <w:rFonts w:hint="eastAsia" w:ascii="方正黑体_GBK" w:hAnsi="方正黑体_GBK" w:eastAsia="方正黑体_GBK" w:cs="方正黑体_GBK"/>
          <w:b/>
          <w:bCs w:val="0"/>
          <w:spacing w:val="52"/>
          <w:sz w:val="44"/>
          <w:szCs w:val="44"/>
        </w:rPr>
        <w:t>编制说明</w:t>
      </w:r>
    </w:p>
    <w:p w14:paraId="6D55046B">
      <w:pPr>
        <w:spacing w:line="520" w:lineRule="exact"/>
        <w:jc w:val="center"/>
        <w:rPr>
          <w:sz w:val="32"/>
          <w:szCs w:val="32"/>
        </w:rPr>
      </w:pPr>
    </w:p>
    <w:p w14:paraId="5778BE1F">
      <w:pPr>
        <w:spacing w:line="520" w:lineRule="exact"/>
        <w:jc w:val="center"/>
      </w:pPr>
    </w:p>
    <w:p w14:paraId="5EB43AD7">
      <w:pPr>
        <w:spacing w:line="520" w:lineRule="exact"/>
        <w:jc w:val="center"/>
      </w:pPr>
    </w:p>
    <w:p w14:paraId="0DB7071A">
      <w:pPr>
        <w:spacing w:line="520" w:lineRule="exact"/>
        <w:jc w:val="center"/>
      </w:pPr>
    </w:p>
    <w:p w14:paraId="1F182A82">
      <w:pPr>
        <w:spacing w:line="520" w:lineRule="exact"/>
        <w:jc w:val="center"/>
      </w:pPr>
    </w:p>
    <w:p w14:paraId="29B8705E">
      <w:pPr>
        <w:spacing w:line="520" w:lineRule="exact"/>
        <w:jc w:val="center"/>
      </w:pPr>
    </w:p>
    <w:p w14:paraId="6CC6589F">
      <w:pPr>
        <w:spacing w:line="520" w:lineRule="exact"/>
        <w:jc w:val="center"/>
      </w:pPr>
    </w:p>
    <w:p w14:paraId="2C8546F0">
      <w:pPr>
        <w:spacing w:line="520" w:lineRule="exact"/>
        <w:jc w:val="center"/>
      </w:pPr>
    </w:p>
    <w:p w14:paraId="48186A19">
      <w:pPr>
        <w:spacing w:line="520" w:lineRule="exact"/>
        <w:jc w:val="center"/>
      </w:pPr>
    </w:p>
    <w:p w14:paraId="3D1121F8">
      <w:pPr>
        <w:spacing w:line="520" w:lineRule="exact"/>
        <w:jc w:val="center"/>
      </w:pPr>
    </w:p>
    <w:p w14:paraId="5AA17D11">
      <w:pPr>
        <w:spacing w:line="520" w:lineRule="exact"/>
        <w:jc w:val="center"/>
      </w:pPr>
    </w:p>
    <w:p w14:paraId="4E0CE579">
      <w:pPr>
        <w:spacing w:line="520" w:lineRule="exact"/>
        <w:jc w:val="center"/>
        <w:rPr>
          <w:rFonts w:hint="eastAsia" w:ascii="宋体" w:hAnsi="宋体" w:eastAsia="方正仿宋_GBK"/>
          <w:bCs/>
          <w:sz w:val="36"/>
          <w:szCs w:val="36"/>
        </w:rPr>
      </w:pPr>
      <w:r>
        <w:rPr>
          <w:rFonts w:hint="eastAsia" w:ascii="宋体" w:hAnsi="宋体" w:eastAsia="方正仿宋_GBK"/>
          <w:bCs/>
          <w:sz w:val="36"/>
          <w:szCs w:val="36"/>
        </w:rPr>
        <w:t>标准编制组</w:t>
      </w:r>
    </w:p>
    <w:p w14:paraId="6E47E1D2">
      <w:pPr>
        <w:spacing w:line="520" w:lineRule="exact"/>
        <w:jc w:val="center"/>
        <w:rPr>
          <w:rFonts w:hint="eastAsia" w:ascii="宋体" w:hAnsi="宋体" w:eastAsia="方正仿宋_GBK"/>
          <w:bCs/>
          <w:sz w:val="36"/>
          <w:szCs w:val="36"/>
        </w:rPr>
      </w:pPr>
      <w:r>
        <w:rPr>
          <w:rFonts w:hint="eastAsia" w:ascii="宋体" w:hAnsi="宋体" w:eastAsia="方正仿宋_GBK"/>
          <w:bCs/>
          <w:sz w:val="36"/>
          <w:szCs w:val="36"/>
        </w:rPr>
        <w:t>202</w:t>
      </w:r>
      <w:r>
        <w:rPr>
          <w:rFonts w:hint="eastAsia" w:ascii="宋体" w:hAnsi="宋体" w:eastAsia="方正仿宋_GBK"/>
          <w:bCs/>
          <w:sz w:val="36"/>
          <w:szCs w:val="36"/>
          <w:lang w:val="en-US" w:eastAsia="zh-CN"/>
        </w:rPr>
        <w:t>6</w:t>
      </w:r>
      <w:r>
        <w:rPr>
          <w:rFonts w:hint="eastAsia" w:ascii="宋体" w:hAnsi="宋体" w:eastAsia="方正仿宋_GBK"/>
          <w:bCs/>
          <w:sz w:val="36"/>
          <w:szCs w:val="36"/>
        </w:rPr>
        <w:t>年</w:t>
      </w:r>
      <w:r>
        <w:rPr>
          <w:rFonts w:hint="eastAsia" w:ascii="宋体" w:hAnsi="宋体" w:eastAsia="方正仿宋_GBK"/>
          <w:bCs/>
          <w:sz w:val="36"/>
          <w:szCs w:val="36"/>
          <w:lang w:val="en-US" w:eastAsia="zh-CN"/>
        </w:rPr>
        <w:t>3</w:t>
      </w:r>
      <w:r>
        <w:rPr>
          <w:rFonts w:hint="eastAsia" w:ascii="宋体" w:hAnsi="宋体" w:eastAsia="方正仿宋_GBK"/>
          <w:bCs/>
          <w:sz w:val="36"/>
          <w:szCs w:val="36"/>
        </w:rPr>
        <w:t>月</w:t>
      </w:r>
    </w:p>
    <w:p w14:paraId="322223AD">
      <w:pPr>
        <w:jc w:val="center"/>
        <w:rPr>
          <w:rFonts w:hint="eastAsia" w:ascii="黑体" w:hAnsi="黑体" w:eastAsia="黑体"/>
          <w:sz w:val="28"/>
          <w:szCs w:val="28"/>
        </w:rPr>
      </w:pPr>
    </w:p>
    <w:p w14:paraId="0227E736">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sz w:val="32"/>
          <w:szCs w:val="32"/>
        </w:rPr>
        <w:t>一、工作简况</w:t>
      </w:r>
    </w:p>
    <w:p w14:paraId="702FBF26">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sz w:val="32"/>
          <w:szCs w:val="32"/>
        </w:rPr>
        <w:t>（一）任务来源</w:t>
      </w:r>
    </w:p>
    <w:p w14:paraId="259EF934">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烟花爆竹</w:t>
      </w:r>
      <w:r>
        <w:rPr>
          <w:rFonts w:hint="eastAsia" w:ascii="宋体" w:hAnsi="宋体" w:eastAsia="方正仿宋_GBK"/>
          <w:sz w:val="32"/>
          <w:szCs w:val="32"/>
          <w:lang w:eastAsia="zh-CN"/>
        </w:rPr>
        <w:t>是以烟火药为主要原材料制成，具有易燃易爆属性的危险物品，支撑</w:t>
      </w:r>
      <w:r>
        <w:rPr>
          <w:rFonts w:hint="eastAsia" w:ascii="宋体" w:hAnsi="宋体" w:eastAsia="方正仿宋_GBK"/>
          <w:sz w:val="32"/>
          <w:szCs w:val="32"/>
        </w:rPr>
        <w:t>行业具有易燃易爆的危险特性</w:t>
      </w:r>
      <w:r>
        <w:rPr>
          <w:rFonts w:hint="eastAsia" w:ascii="宋体" w:hAnsi="宋体" w:eastAsia="方正仿宋_GBK"/>
          <w:sz w:val="32"/>
          <w:szCs w:val="32"/>
          <w:lang w:eastAsia="zh-CN"/>
        </w:rPr>
        <w:t>，生产、储存、运输等过程安全风险高，操作不当易引发燃烧爆炸</w:t>
      </w:r>
      <w:r>
        <w:rPr>
          <w:rFonts w:hint="eastAsia" w:ascii="宋体" w:hAnsi="宋体" w:eastAsia="方正仿宋_GBK"/>
          <w:sz w:val="32"/>
          <w:szCs w:val="32"/>
        </w:rPr>
        <w:t>。据统计，当前全国共有烟花爆竹生产企业1400多家，批发企业4200</w:t>
      </w:r>
      <w:r>
        <w:rPr>
          <w:rFonts w:hint="eastAsia" w:ascii="宋体" w:hAnsi="宋体" w:eastAsia="方正仿宋_GBK"/>
          <w:sz w:val="32"/>
          <w:szCs w:val="32"/>
          <w:lang w:eastAsia="zh-CN"/>
        </w:rPr>
        <w:t>余</w:t>
      </w:r>
      <w:r>
        <w:rPr>
          <w:rFonts w:hint="eastAsia" w:ascii="宋体" w:hAnsi="宋体" w:eastAsia="方正仿宋_GBK"/>
          <w:sz w:val="32"/>
          <w:szCs w:val="32"/>
        </w:rPr>
        <w:t>家，零售单位20余万个，从业人员60余万人</w:t>
      </w:r>
      <w:r>
        <w:rPr>
          <w:rFonts w:hint="eastAsia" w:ascii="宋体" w:hAnsi="宋体" w:eastAsia="方正仿宋_GBK"/>
          <w:sz w:val="32"/>
          <w:szCs w:val="32"/>
          <w:lang w:eastAsia="zh-CN"/>
        </w:rPr>
        <w:t>，</w:t>
      </w:r>
      <w:r>
        <w:rPr>
          <w:rFonts w:hint="eastAsia" w:ascii="宋体" w:hAnsi="宋体" w:eastAsia="方正仿宋_GBK"/>
          <w:sz w:val="32"/>
          <w:szCs w:val="32"/>
        </w:rPr>
        <w:t>202</w:t>
      </w:r>
      <w:r>
        <w:rPr>
          <w:rFonts w:hint="eastAsia" w:ascii="宋体" w:hAnsi="宋体" w:eastAsia="方正仿宋_GBK"/>
          <w:sz w:val="32"/>
          <w:szCs w:val="32"/>
          <w:lang w:val="en-US" w:eastAsia="zh-CN"/>
        </w:rPr>
        <w:t>5</w:t>
      </w:r>
      <w:r>
        <w:rPr>
          <w:rFonts w:hint="eastAsia" w:ascii="宋体" w:hAnsi="宋体" w:eastAsia="方正仿宋_GBK"/>
          <w:sz w:val="32"/>
          <w:szCs w:val="32"/>
        </w:rPr>
        <w:t>年烟花爆竹生产企业生产总值</w:t>
      </w:r>
      <w:r>
        <w:rPr>
          <w:rFonts w:hint="eastAsia" w:ascii="宋体" w:hAnsi="宋体" w:eastAsia="方正仿宋_GBK"/>
          <w:sz w:val="32"/>
          <w:szCs w:val="32"/>
          <w:lang w:eastAsia="zh-CN"/>
        </w:rPr>
        <w:t>近</w:t>
      </w:r>
      <w:r>
        <w:rPr>
          <w:rFonts w:hint="eastAsia" w:ascii="宋体" w:hAnsi="宋体" w:eastAsia="方正仿宋_GBK"/>
          <w:sz w:val="32"/>
          <w:szCs w:val="32"/>
        </w:rPr>
        <w:t>800亿元。重大</w:t>
      </w:r>
      <w:r>
        <w:rPr>
          <w:rFonts w:hint="eastAsia" w:ascii="宋体" w:hAnsi="宋体" w:eastAsia="方正仿宋_GBK"/>
          <w:sz w:val="32"/>
          <w:szCs w:val="32"/>
          <w:lang w:eastAsia="zh-CN"/>
        </w:rPr>
        <w:t>生产安全</w:t>
      </w:r>
      <w:r>
        <w:rPr>
          <w:rFonts w:hint="eastAsia" w:ascii="宋体" w:hAnsi="宋体" w:eastAsia="方正仿宋_GBK"/>
          <w:sz w:val="32"/>
          <w:szCs w:val="32"/>
        </w:rPr>
        <w:t>事故隐患</w:t>
      </w:r>
      <w:r>
        <w:rPr>
          <w:rFonts w:hint="eastAsia" w:ascii="宋体" w:hAnsi="宋体" w:eastAsia="方正仿宋_GBK"/>
          <w:sz w:val="32"/>
          <w:szCs w:val="32"/>
          <w:lang w:eastAsia="zh-CN"/>
        </w:rPr>
        <w:t>（以下简称</w:t>
      </w:r>
      <w:r>
        <w:rPr>
          <w:rFonts w:hint="eastAsia" w:ascii="宋体" w:hAnsi="宋体" w:eastAsia="方正仿宋_GBK"/>
          <w:sz w:val="32"/>
          <w:szCs w:val="32"/>
          <w:highlight w:val="none"/>
          <w:lang w:eastAsia="zh-CN"/>
        </w:rPr>
        <w:t>重大事故隐患）</w:t>
      </w:r>
      <w:r>
        <w:rPr>
          <w:rFonts w:hint="eastAsia" w:ascii="宋体" w:hAnsi="宋体" w:eastAsia="方正仿宋_GBK"/>
          <w:sz w:val="32"/>
          <w:szCs w:val="32"/>
          <w:highlight w:val="none"/>
        </w:rPr>
        <w:t>指的是对安全风险所采取的管控措施存在缺陷或缺失，可能引起重特大人身伤害</w:t>
      </w:r>
      <w:r>
        <w:rPr>
          <w:rFonts w:hint="eastAsia" w:ascii="宋体" w:hAnsi="宋体" w:eastAsia="方正仿宋_GBK"/>
          <w:sz w:val="32"/>
          <w:szCs w:val="32"/>
        </w:rPr>
        <w:t>、财产损失、环境损害或者社会影响的各类潜在不安全因素（包括物的不安全状态、人的不安全行为和管理上的缺陷等）。</w:t>
      </w:r>
      <w:r>
        <w:rPr>
          <w:rFonts w:hint="eastAsia" w:ascii="宋体" w:hAnsi="宋体" w:eastAsia="方正仿宋_GBK"/>
          <w:sz w:val="32"/>
          <w:szCs w:val="32"/>
          <w:lang w:eastAsia="zh-CN"/>
        </w:rPr>
        <w:t>针对</w:t>
      </w:r>
      <w:r>
        <w:rPr>
          <w:rFonts w:hint="eastAsia" w:ascii="宋体" w:hAnsi="宋体" w:eastAsia="方正仿宋_GBK"/>
          <w:sz w:val="32"/>
          <w:szCs w:val="32"/>
        </w:rPr>
        <w:t>烟花爆竹</w:t>
      </w:r>
      <w:r>
        <w:rPr>
          <w:rFonts w:hint="eastAsia" w:ascii="宋体" w:hAnsi="宋体" w:eastAsia="方正仿宋_GBK"/>
          <w:sz w:val="32"/>
          <w:szCs w:val="32"/>
          <w:lang w:eastAsia="zh-CN"/>
        </w:rPr>
        <w:t>生产经营单位</w:t>
      </w:r>
      <w:r>
        <w:rPr>
          <w:rFonts w:hint="eastAsia" w:ascii="宋体" w:hAnsi="宋体" w:eastAsia="方正仿宋_GBK"/>
          <w:sz w:val="32"/>
          <w:szCs w:val="32"/>
        </w:rPr>
        <w:t>的重大事故隐患容易引发群死群伤或造成重大经济损失，</w:t>
      </w:r>
      <w:r>
        <w:rPr>
          <w:rFonts w:hint="eastAsia" w:ascii="宋体" w:hAnsi="宋体" w:eastAsia="方正仿宋_GBK"/>
          <w:sz w:val="32"/>
          <w:szCs w:val="32"/>
          <w:lang w:eastAsia="zh-CN"/>
        </w:rPr>
        <w:t>国家</w:t>
      </w:r>
      <w:r>
        <w:rPr>
          <w:rFonts w:hint="eastAsia" w:ascii="宋体" w:hAnsi="宋体" w:eastAsia="方正仿宋_GBK"/>
          <w:sz w:val="32"/>
          <w:szCs w:val="32"/>
        </w:rPr>
        <w:t>在2017年发布</w:t>
      </w:r>
      <w:r>
        <w:rPr>
          <w:rFonts w:hint="eastAsia" w:ascii="宋体" w:hAnsi="宋体" w:eastAsia="方正仿宋_GBK"/>
          <w:sz w:val="32"/>
          <w:szCs w:val="32"/>
          <w:lang w:eastAsia="zh-CN"/>
        </w:rPr>
        <w:t>了</w:t>
      </w:r>
      <w:r>
        <w:rPr>
          <w:rFonts w:hint="eastAsia" w:ascii="宋体" w:hAnsi="宋体" w:eastAsia="方正仿宋_GBK"/>
          <w:sz w:val="32"/>
          <w:szCs w:val="32"/>
        </w:rPr>
        <w:t>《烟花爆竹生产经营单位重大生产安全事故隐患判定标准（试行）》文件，对推动烟花爆竹生产经营单位排查和治理重大事故隐患、</w:t>
      </w:r>
      <w:r>
        <w:rPr>
          <w:rFonts w:hint="eastAsia" w:ascii="宋体" w:hAnsi="宋体" w:eastAsia="方正仿宋_GBK"/>
          <w:sz w:val="32"/>
          <w:szCs w:val="32"/>
          <w:lang w:eastAsia="zh-CN"/>
        </w:rPr>
        <w:t>防范化解重大风险、遏制重特大事故</w:t>
      </w:r>
      <w:r>
        <w:rPr>
          <w:rFonts w:hint="eastAsia" w:ascii="宋体" w:hAnsi="宋体" w:eastAsia="方正仿宋_GBK"/>
          <w:sz w:val="32"/>
          <w:szCs w:val="32"/>
        </w:rPr>
        <w:t>发挥了积极</w:t>
      </w:r>
      <w:r>
        <w:rPr>
          <w:rFonts w:hint="eastAsia" w:ascii="宋体" w:hAnsi="宋体" w:eastAsia="方正仿宋_GBK"/>
          <w:sz w:val="32"/>
          <w:szCs w:val="32"/>
          <w:lang w:eastAsia="zh-CN"/>
        </w:rPr>
        <w:t>有效的</w:t>
      </w:r>
      <w:r>
        <w:rPr>
          <w:rFonts w:hint="eastAsia" w:ascii="宋体" w:hAnsi="宋体" w:eastAsia="方正仿宋_GBK"/>
          <w:sz w:val="32"/>
          <w:szCs w:val="32"/>
        </w:rPr>
        <w:t>作用。</w:t>
      </w:r>
    </w:p>
    <w:p w14:paraId="77599F11">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2024年1月，国务院安委会印发《安全生产治本攻坚三年行动方案（2024—2026年）》，其中主要任务第二项提出，开展重大事故隐患判定标准体系提升行动，对于以推荐性标准或以试行、暂行办法等文件出台的，2024年底前要积极总结提升为部门规章、强制性国家标准等，增强权威性。为有效贯彻落实“三年行动方案”要求，强化隐患排查治理工作落到实处，更好地预防和减少重特大事故，应急管理部危化监管二司及时提出</w:t>
      </w:r>
      <w:r>
        <w:rPr>
          <w:rFonts w:hint="eastAsia" w:ascii="宋体" w:hAnsi="宋体" w:eastAsia="方正仿宋_GBK"/>
          <w:sz w:val="32"/>
          <w:szCs w:val="32"/>
          <w:lang w:val="en-US" w:eastAsia="zh-CN"/>
        </w:rPr>
        <w:t>制定烟花爆竹重大生产安全事故隐患判定</w:t>
      </w:r>
      <w:r>
        <w:rPr>
          <w:rFonts w:hint="eastAsia" w:ascii="宋体" w:hAnsi="宋体" w:eastAsia="方正仿宋_GBK"/>
          <w:sz w:val="32"/>
          <w:szCs w:val="32"/>
        </w:rPr>
        <w:t>标准。</w:t>
      </w:r>
    </w:p>
    <w:p w14:paraId="57E3B7F9">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highlight w:val="none"/>
        </w:rPr>
      </w:pPr>
      <w:r>
        <w:rPr>
          <w:rFonts w:hint="eastAsia" w:ascii="宋体" w:hAnsi="宋体" w:eastAsia="方正仿宋_GBK"/>
          <w:sz w:val="32"/>
          <w:szCs w:val="32"/>
          <w:highlight w:val="none"/>
        </w:rPr>
        <w:t>2024年5月，中国烟花爆竹协会成立专家组，开展制定《烟花爆竹重大生产安全事故隐患判定》</w:t>
      </w:r>
      <w:r>
        <w:rPr>
          <w:rFonts w:hint="eastAsia" w:ascii="宋体" w:hAnsi="宋体" w:eastAsia="方正仿宋_GBK"/>
          <w:sz w:val="32"/>
          <w:szCs w:val="32"/>
          <w:highlight w:val="none"/>
          <w:lang w:val="en-US" w:eastAsia="zh-CN"/>
        </w:rPr>
        <w:t>强制性行业</w:t>
      </w:r>
      <w:r>
        <w:rPr>
          <w:rFonts w:hint="eastAsia" w:ascii="宋体" w:hAnsi="宋体" w:eastAsia="方正仿宋_GBK"/>
          <w:sz w:val="32"/>
          <w:szCs w:val="32"/>
          <w:highlight w:val="none"/>
        </w:rPr>
        <w:t>标准课题研究。</w:t>
      </w:r>
    </w:p>
    <w:p w14:paraId="3BB32414">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highlight w:val="none"/>
        </w:rPr>
      </w:pPr>
      <w:r>
        <w:rPr>
          <w:rFonts w:hint="eastAsia" w:ascii="宋体" w:hAnsi="宋体" w:eastAsia="方正仿宋_GBK"/>
          <w:sz w:val="32"/>
          <w:szCs w:val="32"/>
          <w:highlight w:val="none"/>
        </w:rPr>
        <w:t>2024年8月，标准起草组完成标准草案初稿。</w:t>
      </w:r>
    </w:p>
    <w:p w14:paraId="78EB650A">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highlight w:val="none"/>
        </w:rPr>
      </w:pPr>
      <w:r>
        <w:rPr>
          <w:rFonts w:hint="eastAsia" w:ascii="宋体" w:hAnsi="宋体" w:eastAsia="方正仿宋_GBK"/>
          <w:sz w:val="32"/>
          <w:szCs w:val="32"/>
          <w:highlight w:val="none"/>
        </w:rPr>
        <w:t>2024年9月，面向协会内部专家开展标准</w:t>
      </w:r>
      <w:r>
        <w:rPr>
          <w:rFonts w:hint="eastAsia" w:ascii="宋体" w:hAnsi="宋体" w:eastAsia="方正仿宋_GBK"/>
          <w:sz w:val="32"/>
          <w:szCs w:val="32"/>
          <w:highlight w:val="none"/>
          <w:lang w:val="en-US" w:eastAsia="zh-CN"/>
        </w:rPr>
        <w:t>制定</w:t>
      </w:r>
      <w:r>
        <w:rPr>
          <w:rFonts w:hint="eastAsia" w:ascii="宋体" w:hAnsi="宋体" w:eastAsia="方正仿宋_GBK"/>
          <w:sz w:val="32"/>
          <w:szCs w:val="32"/>
          <w:highlight w:val="none"/>
        </w:rPr>
        <w:t>意见的局部征求工作，并据此完成标准立项草稿的编制。</w:t>
      </w:r>
    </w:p>
    <w:p w14:paraId="7FED65C5">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highlight w:val="none"/>
        </w:rPr>
      </w:pPr>
      <w:r>
        <w:rPr>
          <w:rFonts w:hint="eastAsia" w:ascii="宋体" w:hAnsi="宋体" w:eastAsia="方正仿宋_GBK"/>
          <w:sz w:val="32"/>
          <w:szCs w:val="32"/>
          <w:highlight w:val="none"/>
        </w:rPr>
        <w:t>2024年10月，全国安全生产标准化技术委员会烟花爆竹安全分技术委员会（以下简称烟花</w:t>
      </w:r>
      <w:r>
        <w:rPr>
          <w:rFonts w:hint="eastAsia" w:ascii="宋体" w:hAnsi="宋体" w:eastAsia="方正仿宋_GBK"/>
          <w:sz w:val="32"/>
          <w:szCs w:val="32"/>
          <w:highlight w:val="none"/>
          <w:lang w:val="en-US" w:eastAsia="zh-CN"/>
        </w:rPr>
        <w:t>爆竹</w:t>
      </w:r>
      <w:r>
        <w:rPr>
          <w:rFonts w:hint="eastAsia" w:ascii="宋体" w:hAnsi="宋体" w:eastAsia="方正仿宋_GBK"/>
          <w:sz w:val="32"/>
          <w:szCs w:val="32"/>
          <w:highlight w:val="none"/>
        </w:rPr>
        <w:t>分标委）在河北省廊坊市组织召开安全标准</w:t>
      </w:r>
      <w:r>
        <w:rPr>
          <w:rFonts w:hint="eastAsia" w:ascii="宋体" w:hAnsi="宋体" w:eastAsia="方正仿宋_GBK"/>
          <w:sz w:val="32"/>
          <w:szCs w:val="32"/>
          <w:highlight w:val="none"/>
          <w:lang w:val="en-US" w:eastAsia="zh-CN"/>
        </w:rPr>
        <w:t>立项论证会</w:t>
      </w:r>
      <w:r>
        <w:rPr>
          <w:rFonts w:hint="eastAsia" w:ascii="宋体" w:hAnsi="宋体" w:eastAsia="方正仿宋_GBK"/>
          <w:sz w:val="32"/>
          <w:szCs w:val="32"/>
          <w:highlight w:val="none"/>
        </w:rPr>
        <w:t>，</w:t>
      </w:r>
      <w:r>
        <w:rPr>
          <w:rFonts w:hint="eastAsia" w:ascii="宋体" w:hAnsi="宋体" w:eastAsia="方正仿宋_GBK"/>
          <w:sz w:val="32"/>
          <w:szCs w:val="32"/>
          <w:highlight w:val="none"/>
          <w:lang w:val="en-US" w:eastAsia="zh-CN"/>
        </w:rPr>
        <w:t>立项论证</w:t>
      </w:r>
      <w:r>
        <w:rPr>
          <w:rFonts w:hint="eastAsia" w:ascii="宋体" w:hAnsi="宋体" w:eastAsia="方正仿宋_GBK"/>
          <w:sz w:val="32"/>
          <w:szCs w:val="32"/>
          <w:highlight w:val="none"/>
        </w:rPr>
        <w:t>组经讨论后一致同意该标准申请立项。</w:t>
      </w:r>
    </w:p>
    <w:p w14:paraId="0D9D4764">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cs="仿宋"/>
          <w:sz w:val="32"/>
          <w:szCs w:val="32"/>
          <w:highlight w:val="none"/>
        </w:rPr>
      </w:pPr>
      <w:r>
        <w:rPr>
          <w:rFonts w:hint="eastAsia" w:ascii="宋体" w:hAnsi="宋体" w:eastAsia="方正仿宋_GBK" w:cs="仿宋"/>
          <w:sz w:val="32"/>
          <w:szCs w:val="32"/>
          <w:highlight w:val="none"/>
        </w:rPr>
        <w:t>2025年6月，应急管理部办公厅下发了关于印发9项行业标准制修订计划的通知（应急厅函〔2025〕233号），标准立项名称为《烟花爆竹重大生产安全事故隐患判定》</w:t>
      </w:r>
      <w:r>
        <w:rPr>
          <w:rFonts w:hint="eastAsia" w:ascii="宋体" w:hAnsi="宋体" w:eastAsia="方正仿宋_GBK" w:cs="仿宋"/>
          <w:sz w:val="32"/>
          <w:szCs w:val="32"/>
          <w:highlight w:val="none"/>
          <w:lang w:eastAsia="zh-CN"/>
        </w:rPr>
        <w:t>，</w:t>
      </w:r>
      <w:r>
        <w:rPr>
          <w:rFonts w:hint="eastAsia" w:ascii="宋体" w:hAnsi="宋体" w:eastAsia="方正仿宋_GBK" w:cs="仿宋"/>
          <w:sz w:val="32"/>
          <w:szCs w:val="32"/>
          <w:highlight w:val="none"/>
          <w:lang w:val="en-US" w:eastAsia="zh-CN"/>
        </w:rPr>
        <w:t>计划号2025-AQ-07</w:t>
      </w:r>
      <w:r>
        <w:rPr>
          <w:rFonts w:hint="eastAsia" w:ascii="宋体" w:hAnsi="宋体" w:eastAsia="方正仿宋_GBK" w:cs="仿宋"/>
          <w:sz w:val="32"/>
          <w:szCs w:val="32"/>
          <w:highlight w:val="none"/>
        </w:rPr>
        <w:t>。</w:t>
      </w:r>
    </w:p>
    <w:p w14:paraId="465C84B5">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default" w:ascii="宋体" w:hAnsi="宋体" w:eastAsia="方正仿宋_GBK" w:cs="仿宋"/>
          <w:sz w:val="32"/>
          <w:szCs w:val="32"/>
          <w:highlight w:val="none"/>
          <w:lang w:val="en-US" w:eastAsia="zh-CN"/>
        </w:rPr>
      </w:pPr>
      <w:r>
        <w:rPr>
          <w:rFonts w:hint="eastAsia" w:ascii="宋体" w:hAnsi="宋体" w:eastAsia="方正仿宋_GBK" w:cs="仿宋"/>
          <w:sz w:val="32"/>
          <w:szCs w:val="32"/>
          <w:highlight w:val="none"/>
          <w:lang w:val="en-US" w:eastAsia="zh-CN"/>
        </w:rPr>
        <w:t>2026年2月，经组织相关专家、企业、监管部门反复研究、修改，形成征求意见稿。</w:t>
      </w:r>
    </w:p>
    <w:p w14:paraId="4A8F0C8F">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sz w:val="32"/>
          <w:szCs w:val="32"/>
          <w:lang w:eastAsia="zh-CN"/>
        </w:rPr>
        <w:t>（二）</w:t>
      </w:r>
      <w:r>
        <w:rPr>
          <w:rFonts w:hint="eastAsia" w:ascii="方正楷体_GBK" w:hAnsi="方正楷体_GBK" w:eastAsia="方正楷体_GBK" w:cs="方正楷体_GBK"/>
          <w:b/>
          <w:sz w:val="32"/>
          <w:szCs w:val="32"/>
        </w:rPr>
        <w:t>起草小组人员组成及所在单位</w:t>
      </w:r>
    </w:p>
    <w:p w14:paraId="5768830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cs="仿宋"/>
          <w:sz w:val="32"/>
          <w:szCs w:val="32"/>
          <w:highlight w:val="none"/>
        </w:rPr>
      </w:pPr>
      <w:r>
        <w:rPr>
          <w:rFonts w:hint="eastAsia" w:ascii="宋体" w:hAnsi="宋体" w:eastAsia="方正仿宋_GBK" w:cs="仿宋"/>
          <w:sz w:val="32"/>
          <w:szCs w:val="32"/>
          <w:highlight w:val="none"/>
        </w:rPr>
        <w:t>根据立项计划，成立标准起草工作组，由中国烟花爆竹协会、萍乡上栗焰花爆竹发展研究中心、醴陵烟花爆竹发展研究中心、四川省烟花爆竹协会、四川省烟花爆竹安全监督质量检测站</w:t>
      </w:r>
      <w:r>
        <w:rPr>
          <w:rFonts w:hint="eastAsia" w:ascii="宋体" w:hAnsi="宋体" w:eastAsia="方正仿宋_GBK" w:cs="仿宋"/>
          <w:sz w:val="32"/>
          <w:szCs w:val="32"/>
          <w:highlight w:val="none"/>
          <w:lang w:val="en-US" w:eastAsia="zh-CN"/>
        </w:rPr>
        <w:t>等</w:t>
      </w:r>
      <w:r>
        <w:rPr>
          <w:rFonts w:hint="eastAsia" w:ascii="宋体" w:hAnsi="宋体" w:eastAsia="方正仿宋_GBK" w:cs="仿宋"/>
          <w:sz w:val="32"/>
          <w:szCs w:val="32"/>
          <w:highlight w:val="none"/>
        </w:rPr>
        <w:t>单位组成编制组，承担标准的编制工作。</w:t>
      </w:r>
    </w:p>
    <w:p w14:paraId="5055245C">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sz w:val="32"/>
          <w:szCs w:val="32"/>
        </w:rPr>
        <w:t>（三）每个阶段草案的形成过程</w:t>
      </w:r>
    </w:p>
    <w:p w14:paraId="4A037F7F">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cs="仿宋"/>
          <w:sz w:val="32"/>
          <w:szCs w:val="32"/>
          <w:highlight w:val="none"/>
        </w:rPr>
      </w:pPr>
      <w:r>
        <w:rPr>
          <w:rFonts w:hint="eastAsia" w:ascii="宋体" w:hAnsi="宋体" w:eastAsia="方正仿宋_GBK" w:cs="仿宋"/>
          <w:sz w:val="32"/>
          <w:szCs w:val="32"/>
          <w:highlight w:val="none"/>
        </w:rPr>
        <w:t>2024年11月，标准起草组根据</w:t>
      </w:r>
      <w:r>
        <w:rPr>
          <w:rFonts w:hint="eastAsia" w:ascii="宋体" w:hAnsi="宋体" w:eastAsia="方正仿宋_GBK" w:cs="仿宋"/>
          <w:sz w:val="32"/>
          <w:szCs w:val="32"/>
          <w:highlight w:val="none"/>
          <w:lang w:val="en-US" w:eastAsia="zh-CN"/>
        </w:rPr>
        <w:t>烟花爆竹</w:t>
      </w:r>
      <w:r>
        <w:rPr>
          <w:rFonts w:hint="eastAsia" w:ascii="宋体" w:hAnsi="宋体" w:eastAsia="方正仿宋_GBK" w:cs="仿宋"/>
          <w:sz w:val="32"/>
          <w:szCs w:val="32"/>
          <w:highlight w:val="none"/>
        </w:rPr>
        <w:t>分标委会议相关意见要求广泛征求了烟花爆竹企业和地方政府的意见，进一步完善了标准立项稿。</w:t>
      </w:r>
    </w:p>
    <w:p w14:paraId="43FBC0E7">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cs="仿宋"/>
          <w:sz w:val="32"/>
          <w:szCs w:val="32"/>
          <w:highlight w:val="none"/>
        </w:rPr>
      </w:pPr>
      <w:r>
        <w:rPr>
          <w:rFonts w:hint="eastAsia" w:ascii="宋体" w:hAnsi="宋体" w:eastAsia="方正仿宋_GBK" w:cs="仿宋"/>
          <w:sz w:val="32"/>
          <w:szCs w:val="32"/>
          <w:highlight w:val="none"/>
        </w:rPr>
        <w:t>2025年5月、7月，标准起草组先后两次与应急管理部危化监管二司烟花爆竹处开展座谈研讨，针对标准核心的判定要素、判定方法进行深入研究</w:t>
      </w:r>
      <w:r>
        <w:rPr>
          <w:rFonts w:hint="eastAsia" w:ascii="宋体" w:hAnsi="宋体" w:eastAsia="方正仿宋_GBK" w:cs="仿宋"/>
          <w:sz w:val="32"/>
          <w:szCs w:val="32"/>
          <w:highlight w:val="none"/>
          <w:lang w:val="en-US" w:eastAsia="zh-CN"/>
        </w:rPr>
        <w:t>讨论</w:t>
      </w:r>
      <w:r>
        <w:rPr>
          <w:rFonts w:hint="eastAsia" w:ascii="宋体" w:hAnsi="宋体" w:eastAsia="方正仿宋_GBK" w:cs="仿宋"/>
          <w:sz w:val="32"/>
          <w:szCs w:val="32"/>
          <w:highlight w:val="none"/>
        </w:rPr>
        <w:t>，最终形成本标准的征求意见稿</w:t>
      </w:r>
      <w:r>
        <w:rPr>
          <w:rFonts w:hint="eastAsia" w:ascii="宋体" w:hAnsi="宋体" w:eastAsia="方正仿宋_GBK" w:cs="仿宋"/>
          <w:sz w:val="32"/>
          <w:szCs w:val="32"/>
          <w:highlight w:val="none"/>
          <w:lang w:val="en-US" w:eastAsia="zh-CN"/>
        </w:rPr>
        <w:t>初稿</w:t>
      </w:r>
      <w:r>
        <w:rPr>
          <w:rFonts w:hint="eastAsia" w:ascii="宋体" w:hAnsi="宋体" w:eastAsia="方正仿宋_GBK" w:cs="仿宋"/>
          <w:sz w:val="32"/>
          <w:szCs w:val="32"/>
          <w:highlight w:val="none"/>
        </w:rPr>
        <w:t>。</w:t>
      </w:r>
    </w:p>
    <w:p w14:paraId="10CFDE82">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cs="仿宋"/>
          <w:sz w:val="32"/>
          <w:szCs w:val="32"/>
          <w:highlight w:val="none"/>
        </w:rPr>
      </w:pPr>
      <w:r>
        <w:rPr>
          <w:rFonts w:hint="eastAsia" w:ascii="宋体" w:hAnsi="宋体" w:eastAsia="方正仿宋_GBK" w:cs="仿宋"/>
          <w:sz w:val="32"/>
          <w:szCs w:val="32"/>
          <w:highlight w:val="none"/>
        </w:rPr>
        <w:t>2025年11月，标准起草组将完善后的标准</w:t>
      </w:r>
      <w:r>
        <w:rPr>
          <w:rFonts w:hint="eastAsia" w:ascii="宋体" w:hAnsi="宋体" w:eastAsia="方正仿宋_GBK" w:cs="仿宋"/>
          <w:sz w:val="32"/>
          <w:szCs w:val="32"/>
          <w:highlight w:val="none"/>
          <w:lang w:val="en-US" w:eastAsia="zh-CN"/>
        </w:rPr>
        <w:t>征求意见初</w:t>
      </w:r>
      <w:r>
        <w:rPr>
          <w:rFonts w:hint="eastAsia" w:ascii="宋体" w:hAnsi="宋体" w:eastAsia="方正仿宋_GBK" w:cs="仿宋"/>
          <w:sz w:val="32"/>
          <w:szCs w:val="32"/>
          <w:highlight w:val="none"/>
        </w:rPr>
        <w:t>稿送呈烟花爆竹行业23名专家开展再审阅把关工作，本次共收到3位专家的回复意见，累计13条；起草组结合反馈意见</w:t>
      </w:r>
      <w:r>
        <w:rPr>
          <w:rFonts w:hint="eastAsia" w:ascii="宋体" w:hAnsi="宋体" w:eastAsia="方正仿宋_GBK" w:cs="仿宋"/>
          <w:sz w:val="32"/>
          <w:szCs w:val="32"/>
          <w:highlight w:val="none"/>
          <w:lang w:val="en-US" w:eastAsia="zh-CN"/>
        </w:rPr>
        <w:t>再次修改完善标准征求意见稿</w:t>
      </w:r>
      <w:r>
        <w:rPr>
          <w:rFonts w:hint="eastAsia" w:ascii="宋体" w:hAnsi="宋体" w:eastAsia="方正仿宋_GBK" w:cs="仿宋"/>
          <w:sz w:val="32"/>
          <w:szCs w:val="32"/>
          <w:highlight w:val="none"/>
        </w:rPr>
        <w:t>。</w:t>
      </w:r>
    </w:p>
    <w:p w14:paraId="1BF1350F">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default" w:ascii="宋体" w:hAnsi="宋体" w:eastAsia="方正仿宋_GBK" w:cs="仿宋"/>
          <w:sz w:val="32"/>
          <w:szCs w:val="32"/>
          <w:highlight w:val="none"/>
          <w:lang w:val="en-US" w:eastAsia="zh-CN"/>
        </w:rPr>
      </w:pPr>
      <w:r>
        <w:rPr>
          <w:rFonts w:hint="eastAsia" w:ascii="宋体" w:hAnsi="宋体" w:eastAsia="方正仿宋_GBK" w:cs="仿宋"/>
          <w:sz w:val="32"/>
          <w:szCs w:val="32"/>
          <w:highlight w:val="none"/>
          <w:lang w:val="en-US" w:eastAsia="zh-CN"/>
        </w:rPr>
        <w:t>2026年1月，危化监管二司组织起草组召开标准讨论会，逐条对直接判定要素和综合判定要素进行深入研究讨论，最终形成标准征求意见稿。</w:t>
      </w:r>
    </w:p>
    <w:p w14:paraId="7EE3A1BC">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二、标准编制原则和确定标准主要技术内容的依据</w:t>
      </w:r>
    </w:p>
    <w:p w14:paraId="64D553D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sz w:val="32"/>
          <w:szCs w:val="32"/>
        </w:rPr>
        <w:t>（一）内容简介</w:t>
      </w:r>
    </w:p>
    <w:p w14:paraId="422A2B62">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本文件规定了烟花爆竹重大事故隐患判定的判定规则、直接判定要素和综合判定要素。</w:t>
      </w:r>
    </w:p>
    <w:p w14:paraId="702E084F">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本文件适用于烟花爆竹生产</w:t>
      </w:r>
      <w:r>
        <w:rPr>
          <w:rFonts w:hint="eastAsia" w:ascii="宋体" w:hAnsi="宋体" w:eastAsia="方正仿宋_GBK"/>
          <w:sz w:val="32"/>
          <w:szCs w:val="32"/>
          <w:lang w:eastAsia="zh-CN"/>
        </w:rPr>
        <w:t>企业、批发企业、零售</w:t>
      </w:r>
      <w:r>
        <w:rPr>
          <w:rFonts w:hint="eastAsia" w:ascii="宋体" w:hAnsi="宋体" w:eastAsia="方正仿宋_GBK"/>
          <w:sz w:val="32"/>
          <w:szCs w:val="32"/>
        </w:rPr>
        <w:t>单位</w:t>
      </w:r>
      <w:r>
        <w:rPr>
          <w:rFonts w:hint="eastAsia" w:ascii="宋体" w:hAnsi="宋体" w:eastAsia="方正仿宋_GBK"/>
          <w:sz w:val="32"/>
          <w:szCs w:val="32"/>
          <w:lang w:eastAsia="zh-CN"/>
        </w:rPr>
        <w:t>的</w:t>
      </w:r>
      <w:r>
        <w:rPr>
          <w:rFonts w:hint="eastAsia" w:ascii="宋体" w:hAnsi="宋体" w:eastAsia="方正仿宋_GBK"/>
          <w:sz w:val="32"/>
          <w:szCs w:val="32"/>
        </w:rPr>
        <w:t>重大事故隐患判定。</w:t>
      </w:r>
    </w:p>
    <w:p w14:paraId="47CFE5AB">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sz w:val="32"/>
          <w:szCs w:val="32"/>
        </w:rPr>
        <w:t>（二）编制原则</w:t>
      </w:r>
    </w:p>
    <w:p w14:paraId="610F14DA">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起草组通过烟花爆竹生产安全事故复盘分析、邀请各领域权威专家开展专题研讨、组织不同规模</w:t>
      </w:r>
      <w:r>
        <w:rPr>
          <w:rFonts w:hint="eastAsia" w:ascii="宋体" w:hAnsi="宋体" w:eastAsia="方正仿宋_GBK"/>
          <w:sz w:val="32"/>
          <w:szCs w:val="32"/>
          <w:lang w:eastAsia="zh-CN"/>
        </w:rPr>
        <w:t>和</w:t>
      </w:r>
      <w:r>
        <w:rPr>
          <w:rFonts w:hint="eastAsia" w:ascii="宋体" w:hAnsi="宋体" w:eastAsia="方正仿宋_GBK"/>
          <w:sz w:val="32"/>
          <w:szCs w:val="32"/>
        </w:rPr>
        <w:t>不同品类的行业企业开展座谈交流等多种形式，开展了全面系统的调研工作。结合当前烟花爆竹行业发展实际与安全生产管理现状，在充分吸纳多方调研成果、广泛凝聚行业共识、反复探讨协商的基础上，对标准中的判定</w:t>
      </w:r>
      <w:r>
        <w:rPr>
          <w:rFonts w:hint="eastAsia" w:ascii="宋体" w:hAnsi="宋体" w:eastAsia="方正仿宋_GBK"/>
          <w:sz w:val="32"/>
          <w:szCs w:val="32"/>
          <w:lang w:val="en-US" w:eastAsia="zh-CN"/>
        </w:rPr>
        <w:t>要素</w:t>
      </w:r>
      <w:r>
        <w:rPr>
          <w:rFonts w:hint="eastAsia" w:ascii="宋体" w:hAnsi="宋体" w:eastAsia="方正仿宋_GBK"/>
          <w:sz w:val="32"/>
          <w:szCs w:val="32"/>
        </w:rPr>
        <w:t>进行了科学梳理、优化调整与补充完善，确保判定</w:t>
      </w:r>
      <w:r>
        <w:rPr>
          <w:rFonts w:hint="eastAsia" w:ascii="宋体" w:hAnsi="宋体" w:eastAsia="方正仿宋_GBK"/>
          <w:sz w:val="32"/>
          <w:szCs w:val="32"/>
          <w:lang w:val="en-US" w:eastAsia="zh-CN"/>
        </w:rPr>
        <w:t>要素</w:t>
      </w:r>
      <w:r>
        <w:rPr>
          <w:rFonts w:hint="eastAsia" w:ascii="宋体" w:hAnsi="宋体" w:eastAsia="方正仿宋_GBK"/>
          <w:sz w:val="32"/>
          <w:szCs w:val="32"/>
        </w:rPr>
        <w:t>贴合行业实际、兼具科学性与实操性。</w:t>
      </w:r>
    </w:p>
    <w:p w14:paraId="0A3BCED3">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sz w:val="32"/>
          <w:szCs w:val="32"/>
        </w:rPr>
        <w:t>（三）确定标准主要技术内容的论据（包括试验、统计数据等），修订标准的应当提出标准技术内容变化的依据和理由</w:t>
      </w:r>
    </w:p>
    <w:p w14:paraId="23904D3E">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b/>
          <w:bCs/>
          <w:sz w:val="32"/>
          <w:szCs w:val="32"/>
          <w:lang w:eastAsia="zh-CN"/>
        </w:rPr>
      </w:pPr>
      <w:r>
        <w:rPr>
          <w:rFonts w:hint="eastAsia" w:ascii="宋体" w:hAnsi="宋体" w:eastAsia="方正仿宋_GBK"/>
          <w:b/>
          <w:bCs/>
          <w:sz w:val="32"/>
          <w:szCs w:val="32"/>
        </w:rPr>
        <w:t>1.判定</w:t>
      </w:r>
      <w:r>
        <w:rPr>
          <w:rFonts w:hint="eastAsia" w:ascii="宋体" w:hAnsi="宋体" w:eastAsia="方正仿宋_GBK"/>
          <w:b/>
          <w:bCs/>
          <w:sz w:val="32"/>
          <w:szCs w:val="32"/>
          <w:lang w:val="en-US" w:eastAsia="zh-CN"/>
        </w:rPr>
        <w:t>规则</w:t>
      </w:r>
    </w:p>
    <w:p w14:paraId="0BB97A94">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为保证重大事故隐患判定的合理性与准确性，判定重大</w:t>
      </w:r>
      <w:r>
        <w:rPr>
          <w:rFonts w:hint="eastAsia" w:ascii="宋体" w:hAnsi="宋体" w:eastAsia="方正仿宋_GBK"/>
          <w:sz w:val="32"/>
          <w:szCs w:val="32"/>
          <w:lang w:eastAsia="zh-CN"/>
        </w:rPr>
        <w:t>事故</w:t>
      </w:r>
      <w:r>
        <w:rPr>
          <w:rFonts w:hint="eastAsia" w:ascii="宋体" w:hAnsi="宋体" w:eastAsia="方正仿宋_GBK"/>
          <w:sz w:val="32"/>
          <w:szCs w:val="32"/>
        </w:rPr>
        <w:t>隐患时应从其可能造成的</w:t>
      </w:r>
      <w:r>
        <w:rPr>
          <w:rFonts w:hint="eastAsia" w:ascii="宋体" w:hAnsi="宋体" w:eastAsia="方正仿宋_GBK"/>
          <w:sz w:val="32"/>
          <w:szCs w:val="32"/>
          <w:lang w:val="en-US" w:eastAsia="zh-CN"/>
        </w:rPr>
        <w:t>后果</w:t>
      </w:r>
      <w:r>
        <w:rPr>
          <w:rFonts w:hint="eastAsia" w:ascii="宋体" w:hAnsi="宋体" w:eastAsia="方正仿宋_GBK"/>
          <w:sz w:val="32"/>
          <w:szCs w:val="32"/>
        </w:rPr>
        <w:t>和危害性出发，依据事故风险等级划分，对于存在重大缺陷或重大安全风险，</w:t>
      </w:r>
      <w:r>
        <w:rPr>
          <w:rFonts w:hint="eastAsia" w:ascii="宋体" w:hAnsi="宋体" w:eastAsia="方正仿宋_GBK"/>
          <w:sz w:val="32"/>
          <w:szCs w:val="32"/>
          <w:lang w:eastAsia="zh-CN"/>
        </w:rPr>
        <w:t>或者</w:t>
      </w:r>
      <w:r>
        <w:rPr>
          <w:rFonts w:hint="eastAsia" w:ascii="宋体" w:hAnsi="宋体" w:eastAsia="方正仿宋_GBK"/>
          <w:sz w:val="32"/>
          <w:szCs w:val="32"/>
        </w:rPr>
        <w:t>有可能造成群死群伤、重大经济损失等严重后果的不安全因素，作为判定烟花爆竹重大事故隐患的要素内容。本文件规定采用直接判定和综合判定两种判定方法。其中，直接判定为对照直接判定要素</w:t>
      </w:r>
      <w:r>
        <w:rPr>
          <w:rFonts w:hint="eastAsia" w:ascii="宋体" w:hAnsi="宋体" w:eastAsia="方正仿宋_GBK"/>
          <w:sz w:val="32"/>
          <w:szCs w:val="32"/>
          <w:lang w:eastAsia="zh-CN"/>
        </w:rPr>
        <w:t>，</w:t>
      </w:r>
      <w:r>
        <w:rPr>
          <w:rFonts w:hint="eastAsia" w:ascii="宋体" w:hAnsi="宋体" w:eastAsia="方正仿宋_GBK"/>
          <w:sz w:val="32"/>
          <w:szCs w:val="32"/>
        </w:rPr>
        <w:t>如出现判定要素中的问题隐患</w:t>
      </w:r>
      <w:r>
        <w:rPr>
          <w:rFonts w:hint="eastAsia" w:ascii="宋体" w:hAnsi="宋体" w:eastAsia="方正仿宋_GBK"/>
          <w:sz w:val="32"/>
          <w:szCs w:val="32"/>
          <w:lang w:eastAsia="zh-CN"/>
        </w:rPr>
        <w:t>，</w:t>
      </w:r>
      <w:r>
        <w:rPr>
          <w:rFonts w:hint="eastAsia" w:ascii="宋体" w:hAnsi="宋体" w:eastAsia="方正仿宋_GBK"/>
          <w:sz w:val="32"/>
          <w:szCs w:val="32"/>
        </w:rPr>
        <w:t>则直接判定为重大</w:t>
      </w:r>
      <w:r>
        <w:rPr>
          <w:rFonts w:hint="eastAsia" w:ascii="宋体" w:hAnsi="宋体" w:eastAsia="方正仿宋_GBK"/>
          <w:sz w:val="32"/>
          <w:szCs w:val="32"/>
          <w:lang w:eastAsia="zh-CN"/>
        </w:rPr>
        <w:t>事故</w:t>
      </w:r>
      <w:r>
        <w:rPr>
          <w:rFonts w:hint="eastAsia" w:ascii="宋体" w:hAnsi="宋体" w:eastAsia="方正仿宋_GBK"/>
          <w:sz w:val="32"/>
          <w:szCs w:val="32"/>
        </w:rPr>
        <w:t>隐患；综合判定为对照综合判定要素</w:t>
      </w:r>
      <w:r>
        <w:rPr>
          <w:rFonts w:hint="eastAsia" w:ascii="宋体" w:hAnsi="宋体" w:eastAsia="方正仿宋_GBK"/>
          <w:sz w:val="32"/>
          <w:szCs w:val="32"/>
          <w:lang w:eastAsia="zh-CN"/>
        </w:rPr>
        <w:t>，</w:t>
      </w:r>
      <w:r>
        <w:rPr>
          <w:rFonts w:hint="eastAsia" w:ascii="宋体" w:hAnsi="宋体" w:eastAsia="方正仿宋_GBK"/>
          <w:sz w:val="32"/>
          <w:szCs w:val="32"/>
        </w:rPr>
        <w:t>如判定要素同时符合其中3项及以上</w:t>
      </w:r>
      <w:r>
        <w:rPr>
          <w:rFonts w:hint="eastAsia" w:ascii="宋体" w:hAnsi="宋体" w:eastAsia="方正仿宋_GBK"/>
          <w:sz w:val="32"/>
          <w:szCs w:val="32"/>
          <w:lang w:eastAsia="zh-CN"/>
        </w:rPr>
        <w:t>，</w:t>
      </w:r>
      <w:r>
        <w:rPr>
          <w:rFonts w:hint="eastAsia" w:ascii="宋体" w:hAnsi="宋体" w:eastAsia="方正仿宋_GBK"/>
          <w:sz w:val="32"/>
          <w:szCs w:val="32"/>
        </w:rPr>
        <w:t>即判定为重大事故隐患。</w:t>
      </w:r>
    </w:p>
    <w:p w14:paraId="38C2EEA8">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b/>
          <w:bCs/>
          <w:sz w:val="32"/>
          <w:szCs w:val="32"/>
        </w:rPr>
      </w:pPr>
      <w:r>
        <w:rPr>
          <w:rFonts w:hint="eastAsia" w:ascii="宋体" w:hAnsi="宋体" w:eastAsia="方正仿宋_GBK"/>
          <w:b/>
          <w:bCs/>
          <w:sz w:val="32"/>
          <w:szCs w:val="32"/>
          <w:lang w:val="en-US" w:eastAsia="zh-CN"/>
        </w:rPr>
        <w:t>2</w:t>
      </w:r>
      <w:r>
        <w:rPr>
          <w:rFonts w:hint="eastAsia" w:ascii="宋体" w:hAnsi="宋体" w:eastAsia="方正仿宋_GBK"/>
          <w:b/>
          <w:bCs/>
          <w:sz w:val="32"/>
          <w:szCs w:val="32"/>
        </w:rPr>
        <w:t>.判定要素</w:t>
      </w:r>
    </w:p>
    <w:p w14:paraId="7FF3ED03">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为保证重大</w:t>
      </w:r>
      <w:r>
        <w:rPr>
          <w:rFonts w:hint="eastAsia" w:ascii="宋体" w:hAnsi="宋体" w:eastAsia="方正仿宋_GBK"/>
          <w:sz w:val="32"/>
          <w:szCs w:val="32"/>
          <w:lang w:eastAsia="zh-CN"/>
        </w:rPr>
        <w:t>事故</w:t>
      </w:r>
      <w:r>
        <w:rPr>
          <w:rFonts w:hint="eastAsia" w:ascii="宋体" w:hAnsi="宋体" w:eastAsia="方正仿宋_GBK"/>
          <w:sz w:val="32"/>
          <w:szCs w:val="32"/>
        </w:rPr>
        <w:t>隐患判定要素的普适性与合理性</w:t>
      </w:r>
      <w:r>
        <w:rPr>
          <w:rFonts w:hint="eastAsia" w:ascii="宋体" w:hAnsi="宋体" w:eastAsia="方正仿宋_GBK"/>
          <w:sz w:val="32"/>
          <w:szCs w:val="32"/>
          <w:lang w:eastAsia="zh-CN"/>
        </w:rPr>
        <w:t>，</w:t>
      </w:r>
      <w:r>
        <w:rPr>
          <w:rFonts w:hint="eastAsia" w:ascii="宋体" w:hAnsi="宋体" w:eastAsia="方正仿宋_GBK"/>
          <w:sz w:val="32"/>
          <w:szCs w:val="32"/>
        </w:rPr>
        <w:t>判定要素分为直接判定要素和综合判定要素两大类，判定要素内容主要来源于烟花爆竹行业事故原因分析、各领域专家研讨、各类型企业座谈调研三方面。</w:t>
      </w:r>
    </w:p>
    <w:p w14:paraId="74D3545C">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楷体_GBK"/>
          <w:b/>
          <w:bCs/>
          <w:sz w:val="32"/>
          <w:szCs w:val="32"/>
        </w:rPr>
        <w:t>1）事故原因分析。</w:t>
      </w:r>
      <w:r>
        <w:rPr>
          <w:rFonts w:hint="eastAsia" w:ascii="宋体" w:hAnsi="宋体" w:eastAsia="方正仿宋_GBK"/>
          <w:sz w:val="32"/>
          <w:szCs w:val="32"/>
        </w:rPr>
        <w:t>通过对近几年烟花爆竹</w:t>
      </w:r>
      <w:r>
        <w:rPr>
          <w:rFonts w:hint="eastAsia" w:ascii="宋体" w:hAnsi="宋体" w:eastAsia="方正仿宋_GBK"/>
          <w:sz w:val="32"/>
          <w:szCs w:val="32"/>
          <w:lang w:eastAsia="zh-CN"/>
        </w:rPr>
        <w:t>行业</w:t>
      </w:r>
      <w:r>
        <w:rPr>
          <w:rFonts w:hint="eastAsia" w:ascii="宋体" w:hAnsi="宋体" w:eastAsia="方正仿宋_GBK"/>
          <w:sz w:val="32"/>
          <w:szCs w:val="32"/>
        </w:rPr>
        <w:t>所发生事故的原因以及</w:t>
      </w:r>
      <w:r>
        <w:rPr>
          <w:rFonts w:hint="eastAsia" w:ascii="宋体" w:hAnsi="宋体" w:eastAsia="方正仿宋_GBK"/>
          <w:sz w:val="32"/>
          <w:szCs w:val="32"/>
          <w:lang w:val="en-US" w:eastAsia="zh-CN"/>
        </w:rPr>
        <w:t>290</w:t>
      </w:r>
      <w:r>
        <w:rPr>
          <w:rFonts w:hint="eastAsia" w:ascii="宋体" w:hAnsi="宋体" w:eastAsia="方正仿宋_GBK"/>
          <w:sz w:val="32"/>
          <w:szCs w:val="32"/>
        </w:rPr>
        <w:t>家烟花爆竹企业专家指导服务工作中发现的问题隐患进行分析研讨、总结概括、综合研判后，将已发生事故</w:t>
      </w:r>
      <w:r>
        <w:rPr>
          <w:rFonts w:hint="eastAsia" w:ascii="宋体" w:hAnsi="宋体" w:eastAsia="方正仿宋_GBK"/>
          <w:sz w:val="32"/>
          <w:szCs w:val="32"/>
          <w:lang w:eastAsia="zh-CN"/>
        </w:rPr>
        <w:t>特别是较大及以上事故</w:t>
      </w:r>
      <w:r>
        <w:rPr>
          <w:rFonts w:hint="eastAsia" w:ascii="宋体" w:hAnsi="宋体" w:eastAsia="方正仿宋_GBK"/>
          <w:sz w:val="32"/>
          <w:szCs w:val="32"/>
        </w:rPr>
        <w:t>中</w:t>
      </w:r>
      <w:r>
        <w:rPr>
          <w:rFonts w:hint="eastAsia" w:ascii="宋体" w:hAnsi="宋体" w:eastAsia="方正仿宋_GBK"/>
          <w:sz w:val="32"/>
          <w:szCs w:val="32"/>
          <w:lang w:eastAsia="zh-CN"/>
        </w:rPr>
        <w:t>暴露出</w:t>
      </w:r>
      <w:r>
        <w:rPr>
          <w:rFonts w:hint="eastAsia" w:ascii="宋体" w:hAnsi="宋体" w:eastAsia="方正仿宋_GBK"/>
          <w:sz w:val="32"/>
          <w:szCs w:val="32"/>
        </w:rPr>
        <w:t>的不安全行为、设施设备、建筑结构等因素和专家指导服务中部分突出问题隐患纳入烟花爆竹重大事故隐患判定要素中。</w:t>
      </w:r>
    </w:p>
    <w:p w14:paraId="5389FED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楷体_GBK"/>
          <w:b/>
          <w:bCs/>
          <w:sz w:val="32"/>
          <w:szCs w:val="32"/>
        </w:rPr>
        <w:t>2）各领域专家研讨。</w:t>
      </w:r>
      <w:r>
        <w:rPr>
          <w:rFonts w:hint="eastAsia" w:ascii="宋体" w:hAnsi="宋体" w:eastAsia="方正仿宋_GBK"/>
          <w:sz w:val="32"/>
          <w:szCs w:val="32"/>
        </w:rPr>
        <w:t>同行业中各</w:t>
      </w:r>
      <w:r>
        <w:rPr>
          <w:rFonts w:hint="eastAsia" w:ascii="宋体" w:hAnsi="宋体" w:eastAsia="方正仿宋_GBK"/>
          <w:sz w:val="32"/>
          <w:szCs w:val="32"/>
          <w:lang w:eastAsia="zh-CN"/>
        </w:rPr>
        <w:t>相关</w:t>
      </w:r>
      <w:r>
        <w:rPr>
          <w:rFonts w:hint="eastAsia" w:ascii="宋体" w:hAnsi="宋体" w:eastAsia="方正仿宋_GBK"/>
          <w:sz w:val="32"/>
          <w:szCs w:val="32"/>
        </w:rPr>
        <w:t>领域（建筑结构、设备设施、化工原料</w:t>
      </w:r>
      <w:r>
        <w:rPr>
          <w:rFonts w:hint="eastAsia" w:ascii="宋体" w:hAnsi="宋体" w:eastAsia="方正仿宋_GBK"/>
          <w:sz w:val="32"/>
          <w:szCs w:val="32"/>
          <w:lang w:eastAsia="zh-CN"/>
        </w:rPr>
        <w:t>、作业安全、安全管理</w:t>
      </w:r>
      <w:r>
        <w:rPr>
          <w:rFonts w:hint="eastAsia" w:ascii="宋体" w:hAnsi="宋体" w:eastAsia="方正仿宋_GBK"/>
          <w:sz w:val="32"/>
          <w:szCs w:val="32"/>
        </w:rPr>
        <w:t>等）专家围绕标准判定要素的设置</w:t>
      </w:r>
      <w:r>
        <w:rPr>
          <w:rFonts w:hint="eastAsia" w:ascii="宋体" w:hAnsi="宋体" w:eastAsia="方正仿宋_GBK"/>
          <w:sz w:val="32"/>
          <w:szCs w:val="32"/>
          <w:lang w:val="en-US" w:eastAsia="zh-CN"/>
        </w:rPr>
        <w:t>等核心内容</w:t>
      </w:r>
      <w:r>
        <w:rPr>
          <w:rFonts w:hint="eastAsia" w:ascii="宋体" w:hAnsi="宋体" w:eastAsia="方正仿宋_GBK"/>
          <w:sz w:val="32"/>
          <w:szCs w:val="32"/>
        </w:rPr>
        <w:t>分别进行讨论交流，从多维度为判定要素的科学性、全面性与实操合理性筑牢专业支撑</w:t>
      </w:r>
      <w:r>
        <w:rPr>
          <w:rFonts w:hint="eastAsia" w:ascii="宋体" w:hAnsi="宋体" w:eastAsia="方正仿宋_GBK"/>
          <w:sz w:val="32"/>
          <w:szCs w:val="32"/>
          <w:lang w:eastAsia="zh-CN"/>
        </w:rPr>
        <w:t>，</w:t>
      </w:r>
      <w:r>
        <w:rPr>
          <w:rFonts w:hint="eastAsia" w:ascii="宋体" w:hAnsi="宋体" w:eastAsia="方正仿宋_GBK"/>
          <w:sz w:val="32"/>
          <w:szCs w:val="32"/>
        </w:rPr>
        <w:t>以保证判定要素的全面性及合理性。</w:t>
      </w:r>
    </w:p>
    <w:p w14:paraId="56CAB08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楷体_GBK"/>
          <w:b/>
          <w:bCs/>
          <w:sz w:val="32"/>
          <w:szCs w:val="32"/>
        </w:rPr>
        <w:t>3）各类型企业座谈。</w:t>
      </w:r>
      <w:r>
        <w:rPr>
          <w:rFonts w:hint="eastAsia" w:ascii="宋体" w:hAnsi="宋体" w:eastAsia="方正仿宋_GBK"/>
          <w:sz w:val="32"/>
          <w:szCs w:val="32"/>
        </w:rPr>
        <w:t>通过与各烟花爆竹主产区、不同经营类型的50余家企业进行交流，我们深入了解企业在实际生产经营各环节的具体操作流程，全面梳理排查各环节易出现的问题与安全隐患，对</w:t>
      </w:r>
      <w:r>
        <w:rPr>
          <w:rFonts w:hint="eastAsia" w:ascii="宋体" w:hAnsi="宋体" w:eastAsia="方正仿宋_GBK"/>
          <w:sz w:val="32"/>
          <w:szCs w:val="32"/>
          <w:lang w:val="en-US" w:eastAsia="zh-CN"/>
        </w:rPr>
        <w:t>交流</w:t>
      </w:r>
      <w:r>
        <w:rPr>
          <w:rFonts w:hint="eastAsia" w:ascii="宋体" w:hAnsi="宋体" w:eastAsia="方正仿宋_GBK"/>
          <w:sz w:val="32"/>
          <w:szCs w:val="32"/>
        </w:rPr>
        <w:t>中收集的各类信息实时、详实记录，随后会同行业专家开展集中研讨论证，逐一研判分析后确定是否将相关内容纳入标准的判定要素中。</w:t>
      </w:r>
    </w:p>
    <w:p w14:paraId="47F67710">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三、与国内、国外有关法律法规和标准水平的对比分析</w:t>
      </w:r>
    </w:p>
    <w:p w14:paraId="0D89B813">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未查到国内、国外有关烟花爆竹重大</w:t>
      </w:r>
      <w:r>
        <w:rPr>
          <w:rFonts w:hint="eastAsia" w:ascii="宋体" w:hAnsi="宋体" w:eastAsia="方正仿宋_GBK"/>
          <w:sz w:val="32"/>
          <w:szCs w:val="32"/>
          <w:lang w:eastAsia="zh-CN"/>
        </w:rPr>
        <w:t>事故隐患判定</w:t>
      </w:r>
      <w:r>
        <w:rPr>
          <w:rFonts w:hint="eastAsia" w:ascii="宋体" w:hAnsi="宋体" w:eastAsia="方正仿宋_GBK"/>
          <w:sz w:val="32"/>
          <w:szCs w:val="32"/>
        </w:rPr>
        <w:t>的法律法规和标准。</w:t>
      </w:r>
    </w:p>
    <w:p w14:paraId="63C740E2">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四、与有关现行法律法规和其他相关强制性标准、推荐性标准的关系</w:t>
      </w:r>
    </w:p>
    <w:p w14:paraId="5B23A05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无相关</w:t>
      </w:r>
      <w:r>
        <w:rPr>
          <w:rFonts w:hint="eastAsia" w:ascii="宋体" w:hAnsi="宋体" w:eastAsia="方正仿宋_GBK"/>
          <w:sz w:val="32"/>
          <w:szCs w:val="32"/>
          <w:lang w:eastAsia="zh-CN"/>
        </w:rPr>
        <w:t>法律法规</w:t>
      </w:r>
      <w:r>
        <w:rPr>
          <w:rFonts w:hint="eastAsia" w:ascii="宋体" w:hAnsi="宋体" w:eastAsia="方正仿宋_GBK"/>
          <w:sz w:val="32"/>
          <w:szCs w:val="32"/>
        </w:rPr>
        <w:t>和标准。</w:t>
      </w:r>
    </w:p>
    <w:p w14:paraId="306E2D5B">
      <w:pPr>
        <w:keepNext w:val="0"/>
        <w:keepLines w:val="0"/>
        <w:widowControl/>
        <w:suppressLineNumbers w:val="0"/>
        <w:ind w:firstLine="640" w:firstLineChars="200"/>
        <w:jc w:val="both"/>
        <w:rPr>
          <w:rFonts w:hint="eastAsia" w:ascii="宋体" w:hAnsi="宋体" w:eastAsia="方正仿宋_GBK"/>
          <w:sz w:val="32"/>
          <w:szCs w:val="32"/>
        </w:rPr>
      </w:pPr>
      <w:r>
        <w:rPr>
          <w:rFonts w:hint="eastAsia" w:ascii="宋体" w:hAnsi="宋体" w:eastAsia="方正仿宋_GBK"/>
          <w:sz w:val="32"/>
          <w:szCs w:val="32"/>
        </w:rPr>
        <w:t>相近标准有《重大火灾隐患判定标准》</w:t>
      </w:r>
      <w:r>
        <w:rPr>
          <w:rFonts w:hint="eastAsia" w:ascii="宋体" w:hAnsi="宋体" w:eastAsia="方正仿宋_GBK"/>
          <w:sz w:val="32"/>
          <w:szCs w:val="32"/>
          <w:lang w:eastAsia="zh-CN"/>
        </w:rPr>
        <w:t>（</w:t>
      </w:r>
      <w:r>
        <w:rPr>
          <w:rFonts w:hint="eastAsia" w:ascii="宋体" w:hAnsi="宋体" w:eastAsia="方正仿宋_GBK"/>
          <w:sz w:val="32"/>
          <w:szCs w:val="32"/>
        </w:rPr>
        <w:t>GB 35181-2017</w:t>
      </w:r>
      <w:r>
        <w:rPr>
          <w:rFonts w:hint="eastAsia" w:ascii="宋体" w:hAnsi="宋体" w:eastAsia="方正仿宋_GBK"/>
          <w:sz w:val="32"/>
          <w:szCs w:val="32"/>
          <w:lang w:eastAsia="zh-CN"/>
        </w:rPr>
        <w:t>）《</w:t>
      </w:r>
      <w:r>
        <w:rPr>
          <w:rFonts w:hint="eastAsia" w:ascii="宋体" w:hAnsi="宋体" w:eastAsia="方正仿宋_GBK"/>
          <w:sz w:val="32"/>
          <w:szCs w:val="32"/>
          <w:lang w:val="en-US" w:eastAsia="zh-CN"/>
        </w:rPr>
        <w:fldChar w:fldCharType="begin"/>
      </w:r>
      <w:r>
        <w:rPr>
          <w:rFonts w:hint="eastAsia" w:ascii="宋体" w:hAnsi="宋体" w:eastAsia="方正仿宋_GBK"/>
          <w:sz w:val="32"/>
          <w:szCs w:val="32"/>
          <w:lang w:val="en-US" w:eastAsia="zh-CN"/>
        </w:rPr>
        <w:instrText xml:space="preserve"> HYPERLINK "https://www.mem.gov.cn/gk/zfxxgkpt/fdzdgknr/202603/W020260325378572085795.pdf" </w:instrText>
      </w:r>
      <w:r>
        <w:rPr>
          <w:rFonts w:hint="eastAsia" w:ascii="宋体" w:hAnsi="宋体" w:eastAsia="方正仿宋_GBK"/>
          <w:sz w:val="32"/>
          <w:szCs w:val="32"/>
          <w:lang w:val="en-US" w:eastAsia="zh-CN"/>
        </w:rPr>
        <w:fldChar w:fldCharType="separate"/>
      </w:r>
      <w:r>
        <w:rPr>
          <w:rFonts w:hint="eastAsia" w:ascii="宋体" w:hAnsi="宋体" w:eastAsia="方正仿宋_GBK"/>
          <w:sz w:val="32"/>
          <w:szCs w:val="32"/>
        </w:rPr>
        <w:t>化工和危险化学品生产经营企业重大生产安全事故隐患判定准则</w:t>
      </w:r>
      <w:r>
        <w:rPr>
          <w:rFonts w:hint="eastAsia" w:ascii="宋体" w:hAnsi="宋体" w:eastAsia="方正仿宋_GBK"/>
          <w:sz w:val="32"/>
          <w:szCs w:val="32"/>
          <w:lang w:val="en-US" w:eastAsia="zh-CN"/>
        </w:rPr>
        <w:fldChar w:fldCharType="end"/>
      </w:r>
      <w:r>
        <w:rPr>
          <w:rFonts w:hint="eastAsia" w:ascii="宋体" w:hAnsi="宋体" w:eastAsia="方正仿宋_GBK"/>
          <w:sz w:val="32"/>
          <w:szCs w:val="32"/>
          <w:lang w:eastAsia="zh-CN"/>
        </w:rPr>
        <w:t>》（</w:t>
      </w:r>
      <w:r>
        <w:rPr>
          <w:rFonts w:hint="eastAsia" w:ascii="宋体" w:hAnsi="宋体" w:eastAsia="方正仿宋_GBK"/>
          <w:sz w:val="32"/>
          <w:szCs w:val="32"/>
          <w:lang w:val="en-US" w:eastAsia="zh-CN"/>
        </w:rPr>
        <w:t>AQ 3067—2026</w:t>
      </w:r>
      <w:r>
        <w:rPr>
          <w:rFonts w:hint="eastAsia" w:ascii="宋体" w:hAnsi="宋体" w:eastAsia="方正仿宋_GBK"/>
          <w:sz w:val="32"/>
          <w:szCs w:val="32"/>
          <w:lang w:eastAsia="zh-CN"/>
        </w:rPr>
        <w:t>）</w:t>
      </w:r>
      <w:r>
        <w:rPr>
          <w:rFonts w:hint="eastAsia" w:ascii="宋体" w:hAnsi="宋体" w:eastAsia="方正仿宋_GBK"/>
          <w:sz w:val="32"/>
          <w:szCs w:val="32"/>
        </w:rPr>
        <w:t>。</w:t>
      </w:r>
    </w:p>
    <w:p w14:paraId="17FCCD18">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五、重大分歧意见的处理过程、处理意见及依据</w:t>
      </w:r>
    </w:p>
    <w:p w14:paraId="515C599B">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lang w:eastAsia="zh-CN"/>
        </w:rPr>
      </w:pPr>
      <w:r>
        <w:rPr>
          <w:rFonts w:hint="eastAsia" w:ascii="宋体" w:hAnsi="宋体" w:eastAsia="方正仿宋_GBK"/>
          <w:sz w:val="32"/>
          <w:szCs w:val="32"/>
        </w:rPr>
        <w:t>无</w:t>
      </w:r>
      <w:r>
        <w:rPr>
          <w:rFonts w:hint="eastAsia" w:ascii="宋体" w:hAnsi="宋体" w:eastAsia="方正仿宋_GBK"/>
          <w:sz w:val="32"/>
          <w:szCs w:val="32"/>
          <w:lang w:eastAsia="zh-CN"/>
        </w:rPr>
        <w:t>。</w:t>
      </w:r>
    </w:p>
    <w:p w14:paraId="449F2B81">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六、作为强制性标准或者推荐性标准的建议及理由，预期社会经济效果</w:t>
      </w:r>
    </w:p>
    <w:p w14:paraId="6343CB9F">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建议将本标准定为强制性标准。烟花爆竹重大事故隐患的科学判定，是行业开展安全生产隐患系统排查与精准治理工作的重要基础，其不仅能助力企业及时发现并从源头消除各类安全隐患、有效防范重特大生产安全事故发生，还能倒逼企业健全安全生产管理体系、全面提升整体安全管理水平，同时推动企业强化从业人员安全培训，切实增强员工的安全风险防范意识与实操能力。基于本标准对烟花爆竹行业安全生产工作的重要支撑作用及行业高质量发展的实际需求，因此建议将本标准定为强制性标准。</w:t>
      </w:r>
    </w:p>
    <w:p w14:paraId="7E496F99">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七、标准实施过渡期的建议及依据</w:t>
      </w:r>
    </w:p>
    <w:p w14:paraId="2024896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建议</w:t>
      </w:r>
      <w:r>
        <w:rPr>
          <w:rFonts w:hint="eastAsia" w:ascii="宋体" w:hAnsi="宋体" w:eastAsia="方正仿宋_GBK"/>
          <w:sz w:val="32"/>
          <w:szCs w:val="32"/>
          <w:lang w:eastAsia="zh-CN"/>
        </w:rPr>
        <w:t>该</w:t>
      </w:r>
      <w:r>
        <w:rPr>
          <w:rFonts w:hint="eastAsia" w:ascii="宋体" w:hAnsi="宋体" w:eastAsia="方正仿宋_GBK"/>
          <w:sz w:val="32"/>
          <w:szCs w:val="32"/>
        </w:rPr>
        <w:t>标准发布后</w:t>
      </w:r>
      <w:r>
        <w:rPr>
          <w:rFonts w:hint="eastAsia" w:ascii="宋体" w:hAnsi="宋体" w:eastAsia="方正仿宋_GBK"/>
          <w:sz w:val="32"/>
          <w:szCs w:val="32"/>
          <w:lang w:val="en-US" w:eastAsia="zh-CN"/>
        </w:rPr>
        <w:t>6</w:t>
      </w:r>
      <w:r>
        <w:rPr>
          <w:rFonts w:hint="eastAsia" w:ascii="宋体" w:hAnsi="宋体" w:eastAsia="方正仿宋_GBK"/>
          <w:sz w:val="32"/>
          <w:szCs w:val="32"/>
        </w:rPr>
        <w:t>个月起实施。</w:t>
      </w:r>
    </w:p>
    <w:p w14:paraId="33A6144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八、实施标准的有关政策措施</w:t>
      </w:r>
    </w:p>
    <w:p w14:paraId="26F65189">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应及时向烟花爆竹</w:t>
      </w:r>
      <w:r>
        <w:rPr>
          <w:rFonts w:hint="eastAsia" w:ascii="宋体" w:hAnsi="宋体" w:eastAsia="方正仿宋_GBK"/>
          <w:sz w:val="32"/>
          <w:szCs w:val="32"/>
          <w:lang w:val="en-US" w:eastAsia="zh-CN"/>
        </w:rPr>
        <w:t>生产经营单位</w:t>
      </w:r>
      <w:r>
        <w:rPr>
          <w:rFonts w:hint="eastAsia" w:ascii="宋体" w:hAnsi="宋体" w:eastAsia="方正仿宋_GBK"/>
          <w:sz w:val="32"/>
          <w:szCs w:val="32"/>
        </w:rPr>
        <w:t>、安全生产监管部门进行宣贯。</w:t>
      </w:r>
    </w:p>
    <w:p w14:paraId="18C4CA25">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九、强制性国家标准是否需要对外通报的意见和建议</w:t>
      </w:r>
    </w:p>
    <w:p w14:paraId="48B6322B">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无需对外通报。</w:t>
      </w:r>
    </w:p>
    <w:p w14:paraId="404F527E">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十、废止现行有关标准的建议</w:t>
      </w:r>
    </w:p>
    <w:p w14:paraId="7DA75FF6">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本标准实施后，原《烟花爆竹生产经营单位重大生产安全事故隐患判定标准（试行）》同时废止。</w:t>
      </w:r>
    </w:p>
    <w:p w14:paraId="2154F690">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十一、涉及专利的有关说明</w:t>
      </w:r>
    </w:p>
    <w:p w14:paraId="78380A5E">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不涉及专利。</w:t>
      </w:r>
    </w:p>
    <w:p w14:paraId="2A364EB6">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十二、标准所涉及的产品、过程和服务目录</w:t>
      </w:r>
    </w:p>
    <w:p w14:paraId="2D4EE204">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lang w:eastAsia="zh-CN"/>
        </w:rPr>
      </w:pPr>
      <w:r>
        <w:rPr>
          <w:rFonts w:hint="eastAsia" w:ascii="宋体" w:hAnsi="宋体" w:eastAsia="方正仿宋_GBK"/>
          <w:sz w:val="32"/>
          <w:szCs w:val="32"/>
        </w:rPr>
        <w:t>本文件适用于烟花爆竹生产经营单位重大事故隐患的判定</w:t>
      </w:r>
      <w:r>
        <w:rPr>
          <w:rFonts w:hint="eastAsia" w:ascii="宋体" w:hAnsi="宋体" w:eastAsia="方正仿宋_GBK"/>
          <w:sz w:val="32"/>
          <w:szCs w:val="32"/>
          <w:lang w:eastAsia="zh-CN"/>
        </w:rPr>
        <w:t>。</w:t>
      </w:r>
    </w:p>
    <w:p w14:paraId="212AD6ED">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十三、需要验证的强制性标准，验证报告应作为编制说明的附件</w:t>
      </w:r>
    </w:p>
    <w:p w14:paraId="2EB7015B">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lang w:eastAsia="zh-CN"/>
        </w:rPr>
      </w:pPr>
      <w:r>
        <w:rPr>
          <w:rFonts w:hint="eastAsia" w:ascii="宋体" w:hAnsi="宋体" w:eastAsia="方正仿宋_GBK"/>
          <w:sz w:val="32"/>
          <w:szCs w:val="32"/>
        </w:rPr>
        <w:t>无</w:t>
      </w:r>
      <w:r>
        <w:rPr>
          <w:rFonts w:hint="eastAsia" w:ascii="宋体" w:hAnsi="宋体" w:eastAsia="方正仿宋_GBK"/>
          <w:sz w:val="32"/>
          <w:szCs w:val="32"/>
          <w:lang w:eastAsia="zh-CN"/>
        </w:rPr>
        <w:t>。</w:t>
      </w:r>
    </w:p>
    <w:p w14:paraId="73DC898F">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十四、其他应予说明的事项。如参考资料、调研记录、工作会议纪要、主要内容解释等</w:t>
      </w:r>
    </w:p>
    <w:p w14:paraId="17F31EB6">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宋体" w:hAnsi="宋体" w:eastAsia="方正仿宋_GBK"/>
          <w:sz w:val="32"/>
          <w:szCs w:val="32"/>
        </w:rPr>
      </w:pPr>
      <w:r>
        <w:rPr>
          <w:rFonts w:hint="eastAsia" w:ascii="宋体" w:hAnsi="宋体" w:eastAsia="方正仿宋_GBK"/>
          <w:sz w:val="32"/>
          <w:szCs w:val="32"/>
        </w:rPr>
        <w:t>无。</w:t>
      </w:r>
    </w:p>
    <w:p w14:paraId="13D037F0">
      <w:bookmarkStart w:id="0" w:name="_GoBack"/>
      <w:bookmarkEnd w:id="0"/>
    </w:p>
    <w:sectPr>
      <w:footerReference r:id="rId4" w:type="first"/>
      <w:footerReference r:id="rId3" w:type="default"/>
      <w:pgSz w:w="11906" w:h="16838"/>
      <w:pgMar w:top="1701" w:right="1587" w:bottom="1474"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E653F4-75BE-4AD8-8069-688BF7E470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7A2BB08-9BF3-4B05-9E4D-859EC8F3678F}"/>
  </w:font>
  <w:font w:name="方正小标宋_GBK">
    <w:panose1 w:val="02000000000000000000"/>
    <w:charset w:val="86"/>
    <w:family w:val="auto"/>
    <w:pitch w:val="default"/>
    <w:sig w:usb0="A00002BF" w:usb1="38CF7CFA" w:usb2="00082016" w:usb3="00000000" w:csb0="00040001" w:csb1="00000000"/>
    <w:embedRegular r:id="rId3" w:fontKey="{49AE1F4C-73C9-4EC5-96FE-6FED3211300C}"/>
  </w:font>
  <w:font w:name="方正仿宋_GBK">
    <w:altName w:val="微软雅黑"/>
    <w:panose1 w:val="03000509000000000000"/>
    <w:charset w:val="86"/>
    <w:family w:val="auto"/>
    <w:pitch w:val="default"/>
    <w:sig w:usb0="00000000" w:usb1="00000000" w:usb2="00000000" w:usb3="00000000" w:csb0="00040000" w:csb1="00000000"/>
    <w:embedRegular r:id="rId4" w:fontKey="{2EA28FAF-5208-4EFF-A6F5-81232A2CC7C3}"/>
  </w:font>
  <w:font w:name="方正黑体_GBK">
    <w:altName w:val="微软雅黑"/>
    <w:panose1 w:val="03000509000000000000"/>
    <w:charset w:val="86"/>
    <w:family w:val="auto"/>
    <w:pitch w:val="default"/>
    <w:sig w:usb0="00000000" w:usb1="00000000" w:usb2="00000000" w:usb3="00000000" w:csb0="00040000" w:csb1="00000000"/>
    <w:embedRegular r:id="rId5" w:fontKey="{5025CC87-5526-4A7E-A626-A5941917137B}"/>
  </w:font>
  <w:font w:name="方正楷体_GBK">
    <w:altName w:val="微软雅黑"/>
    <w:panose1 w:val="02000000000000000000"/>
    <w:charset w:val="86"/>
    <w:family w:val="auto"/>
    <w:pitch w:val="default"/>
    <w:sig w:usb0="00000000" w:usb1="00000000" w:usb2="00000000" w:usb3="00000000" w:csb0="00040000" w:csb1="00000000"/>
    <w:embedRegular r:id="rId6" w:fontKey="{A1740178-D00A-4539-A2C8-069927B9A7C6}"/>
  </w:font>
  <w:font w:name="仿宋">
    <w:panose1 w:val="02010609060101010101"/>
    <w:charset w:val="86"/>
    <w:family w:val="modern"/>
    <w:pitch w:val="default"/>
    <w:sig w:usb0="800002BF" w:usb1="38CF7CFA" w:usb2="00000016" w:usb3="00000000" w:csb0="00040001" w:csb1="00000000"/>
    <w:embedRegular r:id="rId7" w:fontKey="{9B8F2EC6-486F-4FF3-AC15-0C06BCDDCF1C}"/>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53214">
    <w:pPr>
      <w:pStyle w:val="2"/>
      <w:jc w:val="center"/>
    </w:pPr>
    <w:r>
      <w:fldChar w:fldCharType="begin"/>
    </w:r>
    <w:r>
      <w:instrText xml:space="preserve">PAGE   \* MERGEFORMAT</w:instrText>
    </w:r>
    <w:r>
      <w:fldChar w:fldCharType="separate"/>
    </w:r>
    <w:r>
      <w:rPr>
        <w:lang w:val="zh-CN"/>
      </w:rPr>
      <w:t>4</w:t>
    </w:r>
    <w:r>
      <w:fldChar w:fldCharType="end"/>
    </w:r>
  </w:p>
  <w:p w14:paraId="6C6E8B8E">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E547F">
    <w:pPr>
      <w:pStyle w:val="2"/>
      <w:jc w:val="center"/>
    </w:pPr>
    <w:r>
      <w:fldChar w:fldCharType="begin"/>
    </w:r>
    <w:r>
      <w:instrText xml:space="preserve">PAGE   \* MERGEFORMAT</w:instrText>
    </w:r>
    <w:r>
      <w:fldChar w:fldCharType="separate"/>
    </w:r>
    <w:r>
      <w:rPr>
        <w:lang w:val="zh-CN"/>
      </w:rPr>
      <w:t>1</w:t>
    </w:r>
    <w:r>
      <w:fldChar w:fldCharType="end"/>
    </w:r>
  </w:p>
  <w:p w14:paraId="22245B6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957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2026-04-13T11:23:20Z</dcterms:created>
  <dc:creator>admin</dc:creator>
  <cp:lastModifiedBy>中国烟花爆竹协会</cp:lastModifiedBy>
  <dcterms:modified xsi:type="dcterms:W3CDTF">2026-04-13T11:23:35Z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eyJoZGlkIjoiYjRhZTRjNzIzYjM5MzVlMGQzMzc4YmQzZWJhYmQxNjQiLCJ1c2VySWQiOiIyNzY4MTYyNjkifQ==</vt:lpwstr>
  </property>
  <property fmtid="{D5CDD505-2E9C-101B-9397-08002B2CF9AE}" pid="4" name="ICV">
    <vt:lpwstr>C4D5331CA1944D11B4D84C0EE597AEC5_12</vt:lpwstr>
  </property>
</Properties>
</file>